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26F23" w14:textId="37DA19D5" w:rsidR="003E0CFA" w:rsidRDefault="003E0CFA" w:rsidP="00585159">
      <w:pPr>
        <w:jc w:val="center"/>
      </w:pPr>
    </w:p>
    <w:sdt>
      <w:sdtPr>
        <w:id w:val="-1979513733"/>
        <w:docPartObj>
          <w:docPartGallery w:val="Cover Pages"/>
          <w:docPartUnique/>
        </w:docPartObj>
      </w:sdtPr>
      <w:sdtEndPr>
        <w:rPr>
          <w:rFonts w:ascii="Calibri" w:eastAsia="Times New Roman" w:hAnsi="Calibri" w:cs="Arial"/>
          <w:b/>
          <w:color w:val="1F497D"/>
          <w:sz w:val="24"/>
          <w:lang w:val="en-CA" w:eastAsia="en-CA"/>
        </w:rPr>
      </w:sdtEndPr>
      <w:sdtContent>
        <w:p w14:paraId="6FDB14B5" w14:textId="5E532276" w:rsidR="003021F5" w:rsidRDefault="00585159" w:rsidP="00585159">
          <w:pPr>
            <w:jc w:val="center"/>
          </w:pPr>
          <w:r>
            <w:rPr>
              <w:noProof/>
            </w:rPr>
            <w:drawing>
              <wp:inline distT="0" distB="0" distL="0" distR="0" wp14:anchorId="6B0788C2" wp14:editId="1B166374">
                <wp:extent cx="2982263" cy="1857375"/>
                <wp:effectExtent l="0" t="0" r="889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0996" cy="1956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2B65712" w14:textId="77777777" w:rsidR="003021F5" w:rsidRDefault="003021F5"/>
        <w:p w14:paraId="683715FE" w14:textId="778774B5" w:rsidR="003021F5" w:rsidRPr="00585159" w:rsidRDefault="003021F5">
          <w:pPr>
            <w:rPr>
              <w:sz w:val="52"/>
              <w:szCs w:val="52"/>
            </w:rPr>
          </w:pPr>
        </w:p>
        <w:p w14:paraId="22954C80" w14:textId="77777777" w:rsidR="00A26588" w:rsidRPr="00585159" w:rsidRDefault="00A26588">
          <w:pPr>
            <w:rPr>
              <w:sz w:val="52"/>
              <w:szCs w:val="52"/>
            </w:rPr>
          </w:pPr>
        </w:p>
        <w:tbl>
          <w:tblPr>
            <w:tblStyle w:val="TableGrid"/>
            <w:tblpPr w:leftFromText="180" w:rightFromText="180" w:vertAnchor="text" w:tblpY="114"/>
            <w:tblW w:w="9439" w:type="dxa"/>
            <w:tblLook w:val="04A0" w:firstRow="1" w:lastRow="0" w:firstColumn="1" w:lastColumn="0" w:noHBand="0" w:noVBand="1"/>
          </w:tblPr>
          <w:tblGrid>
            <w:gridCol w:w="9439"/>
          </w:tblGrid>
          <w:tr w:rsidR="003021F5" w:rsidRPr="00585159" w14:paraId="79CF1973" w14:textId="77777777" w:rsidTr="00A26588">
            <w:trPr>
              <w:trHeight w:val="6101"/>
            </w:trPr>
            <w:tc>
              <w:tcPr>
                <w:tcW w:w="94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53A3EA" w14:textId="3AB741DF" w:rsidR="003021F5" w:rsidRPr="00585159" w:rsidRDefault="003021F5" w:rsidP="00585159">
                <w:pPr>
                  <w:jc w:val="center"/>
                  <w:rPr>
                    <w:rFonts w:asciiTheme="majorHAnsi" w:hAnsiTheme="majorHAnsi"/>
                    <w:b/>
                    <w:sz w:val="52"/>
                    <w:szCs w:val="52"/>
                  </w:rPr>
                </w:pPr>
                <w:r w:rsidRPr="00585159">
                  <w:rPr>
                    <w:rFonts w:asciiTheme="majorHAnsi" w:hAnsiTheme="majorHAnsi"/>
                    <w:b/>
                    <w:sz w:val="52"/>
                    <w:szCs w:val="52"/>
                  </w:rPr>
                  <w:t>Business Faç</w:t>
                </w:r>
                <w:r w:rsidR="002B520B" w:rsidRPr="00585159">
                  <w:rPr>
                    <w:rFonts w:asciiTheme="majorHAnsi" w:hAnsiTheme="majorHAnsi"/>
                    <w:b/>
                    <w:sz w:val="52"/>
                    <w:szCs w:val="52"/>
                  </w:rPr>
                  <w:t>ade Improvement P</w:t>
                </w:r>
                <w:r w:rsidR="00A26588" w:rsidRPr="00585159">
                  <w:rPr>
                    <w:rFonts w:asciiTheme="majorHAnsi" w:hAnsiTheme="majorHAnsi"/>
                    <w:b/>
                    <w:sz w:val="52"/>
                    <w:szCs w:val="52"/>
                  </w:rPr>
                  <w:t>rogram</w:t>
                </w:r>
              </w:p>
              <w:p w14:paraId="37C41E67" w14:textId="77777777" w:rsidR="003021F5" w:rsidRPr="00585159" w:rsidRDefault="003021F5" w:rsidP="003021F5">
                <w:pPr>
                  <w:rPr>
                    <w:rFonts w:ascii="Calibri" w:eastAsia="Times New Roman" w:hAnsi="Calibri" w:cs="Arial"/>
                    <w:b/>
                    <w:color w:val="1F497D"/>
                    <w:sz w:val="52"/>
                    <w:szCs w:val="52"/>
                    <w:lang w:val="en-CA" w:eastAsia="en-CA"/>
                  </w:rPr>
                </w:pPr>
              </w:p>
            </w:tc>
          </w:tr>
        </w:tbl>
        <w:p w14:paraId="19104E49" w14:textId="77777777" w:rsidR="003021F5" w:rsidRDefault="003021F5"/>
        <w:tbl>
          <w:tblPr>
            <w:tblStyle w:val="TableGrid"/>
            <w:tblpPr w:leftFromText="180" w:rightFromText="180" w:vertAnchor="text" w:horzAnchor="page" w:tblpX="4096" w:tblpY="6594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338"/>
          </w:tblGrid>
          <w:tr w:rsidR="003021F5" w14:paraId="5FCE6CC1" w14:textId="77777777" w:rsidTr="003021F5">
            <w:trPr>
              <w:trHeight w:val="4774"/>
            </w:trPr>
            <w:tc>
              <w:tcPr>
                <w:tcW w:w="7338" w:type="dxa"/>
              </w:tcPr>
              <w:p w14:paraId="21980397" w14:textId="6AD3FABD" w:rsidR="003021F5" w:rsidRDefault="003021F5" w:rsidP="003021F5">
                <w:pPr>
                  <w:rPr>
                    <w:rFonts w:ascii="Calibri" w:eastAsia="Times New Roman" w:hAnsi="Calibri" w:cs="Arial"/>
                    <w:b/>
                    <w:color w:val="1F497D"/>
                    <w:sz w:val="24"/>
                    <w:lang w:val="en-CA" w:eastAsia="en-CA"/>
                  </w:rPr>
                </w:pPr>
              </w:p>
            </w:tc>
          </w:tr>
        </w:tbl>
        <w:p w14:paraId="60C96F88" w14:textId="109B1CC8" w:rsidR="003021F5" w:rsidRDefault="00AB4724" w:rsidP="000F690D">
          <w:pPr>
            <w:rPr>
              <w:rFonts w:ascii="Calibri" w:eastAsia="Times New Roman" w:hAnsi="Calibri" w:cs="Arial"/>
              <w:b/>
              <w:color w:val="1F497D"/>
              <w:sz w:val="24"/>
              <w:lang w:val="en-CA" w:eastAsia="en-CA"/>
            </w:rPr>
          </w:pPr>
        </w:p>
      </w:sdtContent>
    </w:sdt>
    <w:p w14:paraId="2AC8B01D" w14:textId="40DC225A" w:rsidR="00660E31" w:rsidRDefault="00A57681" w:rsidP="003021F5">
      <w:pPr>
        <w:spacing w:after="0"/>
        <w:rPr>
          <w:rFonts w:ascii="Calibri" w:eastAsia="Times New Roman" w:hAnsi="Calibri" w:cs="Arial"/>
          <w:b/>
          <w:color w:val="1F497D"/>
          <w:sz w:val="24"/>
          <w:lang w:val="en-CA" w:eastAsia="en-CA"/>
        </w:rPr>
      </w:pPr>
      <w:r w:rsidRPr="00A57681">
        <w:rPr>
          <w:rFonts w:ascii="Calibri" w:eastAsia="Times New Roman" w:hAnsi="Calibri" w:cs="Arial"/>
          <w:b/>
          <w:color w:val="1F497D"/>
          <w:sz w:val="24"/>
          <w:lang w:val="en-CA" w:eastAsia="en-CA"/>
        </w:rPr>
        <w:t>Program Purpose and Goals</w:t>
      </w:r>
    </w:p>
    <w:p w14:paraId="581EAA3D" w14:textId="77777777" w:rsidR="00D348A1" w:rsidRPr="00660E31" w:rsidRDefault="00D348A1" w:rsidP="003021F5">
      <w:pPr>
        <w:spacing w:after="0"/>
        <w:rPr>
          <w:rFonts w:ascii="Calibri" w:eastAsia="Times New Roman" w:hAnsi="Calibri" w:cs="Arial"/>
          <w:b/>
          <w:color w:val="1F497D"/>
          <w:sz w:val="24"/>
          <w:lang w:val="en-CA"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C67A2" w14:paraId="42AAEBCA" w14:textId="77777777" w:rsidTr="009011E5">
        <w:trPr>
          <w:trHeight w:val="4760"/>
        </w:trPr>
        <w:tc>
          <w:tcPr>
            <w:tcW w:w="9576" w:type="dxa"/>
          </w:tcPr>
          <w:p w14:paraId="70191E1A" w14:textId="1B37EC60" w:rsidR="009C67A2" w:rsidRPr="004C712E" w:rsidRDefault="00E61422" w:rsidP="00A26588">
            <w:pPr>
              <w:spacing w:line="276" w:lineRule="auto"/>
              <w:jc w:val="both"/>
            </w:pPr>
            <w:r w:rsidRPr="004C712E">
              <w:t xml:space="preserve">The Village of Clinton wishes to provide financial support to businesses for </w:t>
            </w:r>
            <w:r w:rsidR="00467C42">
              <w:t xml:space="preserve">improvements to </w:t>
            </w:r>
            <w:r w:rsidR="00AD4C26">
              <w:t>façade</w:t>
            </w:r>
            <w:r w:rsidR="00373DE9">
              <w:t>s</w:t>
            </w:r>
            <w:r w:rsidRPr="004C712E">
              <w:t xml:space="preserve"> on existing commercial/business buildings.</w:t>
            </w:r>
          </w:p>
          <w:p w14:paraId="0EA4B5EC" w14:textId="77777777" w:rsidR="009C67A2" w:rsidRPr="004C712E" w:rsidRDefault="009C67A2" w:rsidP="00A26588">
            <w:pPr>
              <w:spacing w:line="276" w:lineRule="auto"/>
              <w:jc w:val="both"/>
            </w:pPr>
          </w:p>
          <w:p w14:paraId="732F3E5B" w14:textId="6024E770" w:rsidR="00F15C00" w:rsidRDefault="00F15C00" w:rsidP="00A26588">
            <w:pPr>
              <w:spacing w:line="276" w:lineRule="auto"/>
              <w:jc w:val="both"/>
            </w:pPr>
            <w:r>
              <w:t>Façade enhancements of existing commercial buildings is intended to promote economic growth and investment while upgrading main street desirability and long-term viability</w:t>
            </w:r>
            <w:r w:rsidR="00D348A1">
              <w:t>.</w:t>
            </w:r>
            <w:r>
              <w:t xml:space="preserve"> </w:t>
            </w:r>
            <w:r w:rsidR="00D348A1">
              <w:t>The established</w:t>
            </w:r>
            <w:r>
              <w:t xml:space="preserve"> Western Heritage Theme</w:t>
            </w:r>
            <w:r w:rsidR="00AD4C26">
              <w:t xml:space="preserve"> Guidelines </w:t>
            </w:r>
            <w:r w:rsidR="00D348A1">
              <w:t xml:space="preserve">identified in </w:t>
            </w:r>
            <w:r w:rsidR="00AD4C26">
              <w:t xml:space="preserve">Section 8.4 </w:t>
            </w:r>
            <w:r w:rsidR="00AD4C26" w:rsidRPr="00AD4C26">
              <w:t xml:space="preserve">(pages 52-54) </w:t>
            </w:r>
            <w:r w:rsidR="00AD4C26">
              <w:t xml:space="preserve">of </w:t>
            </w:r>
            <w:r w:rsidR="00D348A1">
              <w:t>the Official Community Plan will be used as a façade guide.</w:t>
            </w:r>
          </w:p>
          <w:p w14:paraId="769531F8" w14:textId="77777777" w:rsidR="00F15C00" w:rsidRDefault="00F15C00" w:rsidP="00A26588">
            <w:pPr>
              <w:spacing w:line="276" w:lineRule="auto"/>
              <w:jc w:val="both"/>
            </w:pPr>
          </w:p>
          <w:p w14:paraId="3E0669BF" w14:textId="7B30412E" w:rsidR="00F15C00" w:rsidRDefault="00F15C00" w:rsidP="00A26588">
            <w:pPr>
              <w:spacing w:line="276" w:lineRule="auto"/>
              <w:jc w:val="both"/>
            </w:pPr>
            <w:r>
              <w:t xml:space="preserve">The benefits are not only for business property owners, but also to the visitors, tenants, residents and community. The </w:t>
            </w:r>
            <w:r w:rsidR="00B91886">
              <w:t>improved attractiveness</w:t>
            </w:r>
            <w:r>
              <w:t xml:space="preserve"> will en</w:t>
            </w:r>
            <w:r w:rsidR="00B91886">
              <w:t>courage community pride and</w:t>
            </w:r>
            <w:r>
              <w:t xml:space="preserve"> assist in attracting new investm</w:t>
            </w:r>
            <w:r w:rsidR="00B91886">
              <w:t xml:space="preserve">ent, tourism and business to the Village. </w:t>
            </w:r>
          </w:p>
          <w:p w14:paraId="6400A764" w14:textId="77777777" w:rsidR="00F15C00" w:rsidRDefault="00F15C00" w:rsidP="00A26588">
            <w:pPr>
              <w:spacing w:line="276" w:lineRule="auto"/>
              <w:jc w:val="both"/>
            </w:pPr>
          </w:p>
          <w:p w14:paraId="5FE3D68E" w14:textId="1760B228" w:rsidR="00F15C00" w:rsidRPr="00F15C00" w:rsidRDefault="00F15C00" w:rsidP="00A26588">
            <w:pPr>
              <w:spacing w:line="276" w:lineRule="auto"/>
              <w:jc w:val="both"/>
            </w:pPr>
            <w:r>
              <w:t>Northern Development Initiative Trust has developed the Business Façade</w:t>
            </w:r>
            <w:r w:rsidR="00AD4C26">
              <w:t xml:space="preserve"> Improvement</w:t>
            </w:r>
            <w:r>
              <w:t xml:space="preserve"> </w:t>
            </w:r>
            <w:r w:rsidR="00AD4C26">
              <w:t xml:space="preserve">Funding </w:t>
            </w:r>
            <w:r w:rsidR="00E31705">
              <w:t>Program which</w:t>
            </w:r>
            <w:r>
              <w:t xml:space="preserve"> provides funding for municipalities and regio</w:t>
            </w:r>
            <w:r w:rsidR="00D348A1">
              <w:t xml:space="preserve">nal districts located within their catchment area. Annual funding of </w:t>
            </w:r>
            <w:r w:rsidR="004F151D">
              <w:t xml:space="preserve">up to </w:t>
            </w:r>
            <w:r w:rsidR="00D348A1">
              <w:t>$20,000 is available to each municipality to enhance economic development by encouraging private sector investment in business façade improvements.</w:t>
            </w:r>
          </w:p>
        </w:tc>
      </w:tr>
    </w:tbl>
    <w:p w14:paraId="2CB824C8" w14:textId="41BBE55C" w:rsidR="000F690D" w:rsidRDefault="000F690D"/>
    <w:tbl>
      <w:tblPr>
        <w:tblStyle w:val="TableGrid"/>
        <w:tblpPr w:leftFromText="180" w:rightFromText="180" w:vertAnchor="text" w:horzAnchor="margin" w:tblpY="6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348A1" w14:paraId="51FB3F45" w14:textId="77777777" w:rsidTr="00D348A1">
        <w:trPr>
          <w:trHeight w:val="2537"/>
        </w:trPr>
        <w:tc>
          <w:tcPr>
            <w:tcW w:w="9360" w:type="dxa"/>
          </w:tcPr>
          <w:p w14:paraId="75ED198D" w14:textId="77777777" w:rsidR="00D348A1" w:rsidRDefault="00D348A1" w:rsidP="00A26588">
            <w:pPr>
              <w:spacing w:line="276" w:lineRule="auto"/>
              <w:jc w:val="both"/>
            </w:pPr>
            <w:r w:rsidRPr="00EF27DE">
              <w:t>These program guidelines</w:t>
            </w:r>
            <w:r>
              <w:t xml:space="preserve"> are intended to maximize the program benefit for improving aesthetics of commercial areas. </w:t>
            </w:r>
          </w:p>
          <w:p w14:paraId="23FA1AA1" w14:textId="77777777" w:rsidR="00D348A1" w:rsidRDefault="00D348A1" w:rsidP="00A26588">
            <w:pPr>
              <w:spacing w:line="276" w:lineRule="auto"/>
              <w:jc w:val="both"/>
            </w:pPr>
          </w:p>
          <w:p w14:paraId="4CDC5540" w14:textId="6EAD702B" w:rsidR="00D348A1" w:rsidRDefault="00D348A1" w:rsidP="00A26588">
            <w:pPr>
              <w:spacing w:line="276" w:lineRule="auto"/>
              <w:jc w:val="both"/>
            </w:pPr>
            <w:r>
              <w:t xml:space="preserve">The </w:t>
            </w:r>
            <w:r w:rsidRPr="002B520B">
              <w:rPr>
                <w:i/>
              </w:rPr>
              <w:t>Village of</w:t>
            </w:r>
            <w:r>
              <w:rPr>
                <w:i/>
              </w:rPr>
              <w:t xml:space="preserve"> Clinton</w:t>
            </w:r>
            <w:r>
              <w:t xml:space="preserve"> will provide </w:t>
            </w:r>
            <w:r w:rsidRPr="002B520B">
              <w:t xml:space="preserve">a </w:t>
            </w:r>
            <w:r w:rsidRPr="002B520B">
              <w:rPr>
                <w:i/>
              </w:rPr>
              <w:t>maximum of 50%</w:t>
            </w:r>
            <w:r w:rsidRPr="005000B3">
              <w:rPr>
                <w:i/>
              </w:rPr>
              <w:t xml:space="preserve"> </w:t>
            </w:r>
            <w:r>
              <w:t>reimbursement</w:t>
            </w:r>
            <w:r w:rsidR="00C86EB9">
              <w:t xml:space="preserve"> </w:t>
            </w:r>
            <w:r>
              <w:t>up to a maximum</w:t>
            </w:r>
            <w:r w:rsidRPr="00D53E85">
              <w:t xml:space="preserve"> o</w:t>
            </w:r>
            <w:r w:rsidR="00C86EB9">
              <w:t>f</w:t>
            </w:r>
            <w:r w:rsidRPr="002B520B">
              <w:rPr>
                <w:i/>
              </w:rPr>
              <w:t xml:space="preserve"> $5,000 </w:t>
            </w:r>
            <w:r>
              <w:t xml:space="preserve">per building/ project to improve the facades of commercial buildings. </w:t>
            </w:r>
          </w:p>
          <w:p w14:paraId="3BBF4C05" w14:textId="77777777" w:rsidR="00D348A1" w:rsidRDefault="00D348A1" w:rsidP="00A26588">
            <w:pPr>
              <w:spacing w:line="276" w:lineRule="auto"/>
              <w:jc w:val="both"/>
            </w:pPr>
          </w:p>
          <w:p w14:paraId="50EC51C2" w14:textId="77777777" w:rsidR="00185CA1" w:rsidRPr="008E0EC1" w:rsidRDefault="00185CA1" w:rsidP="00185CA1">
            <w:pPr>
              <w:spacing w:before="120" w:after="120" w:line="300" w:lineRule="auto"/>
              <w:jc w:val="both"/>
            </w:pPr>
            <w:r w:rsidRPr="008E0EC1">
              <w:t>Each building is eligible for an annual grant to a maximum of $5,000. Each year a building may access the Business Façade Improvement program for new/incremental façade improvements.</w:t>
            </w:r>
          </w:p>
          <w:p w14:paraId="4C887ACA" w14:textId="77777777" w:rsidR="00D348A1" w:rsidRDefault="00D348A1" w:rsidP="00A26588">
            <w:pPr>
              <w:spacing w:line="276" w:lineRule="auto"/>
              <w:jc w:val="both"/>
            </w:pPr>
          </w:p>
          <w:p w14:paraId="680AACE0" w14:textId="47D8E6AE" w:rsidR="00D348A1" w:rsidRPr="00A26588" w:rsidRDefault="00D348A1" w:rsidP="00A26588">
            <w:pPr>
              <w:spacing w:line="276" w:lineRule="auto"/>
              <w:jc w:val="both"/>
              <w:rPr>
                <w:i/>
              </w:rPr>
            </w:pPr>
            <w:r>
              <w:t xml:space="preserve">Projects must have a minimum total cost of </w:t>
            </w:r>
            <w:r w:rsidR="003266F0" w:rsidRPr="009612E4">
              <w:rPr>
                <w:b/>
                <w:i/>
              </w:rPr>
              <w:t>$</w:t>
            </w:r>
            <w:r w:rsidR="004F151D">
              <w:rPr>
                <w:b/>
                <w:i/>
              </w:rPr>
              <w:t>1</w:t>
            </w:r>
            <w:r w:rsidR="003266F0" w:rsidRPr="009612E4">
              <w:rPr>
                <w:b/>
                <w:i/>
              </w:rPr>
              <w:t>,000</w:t>
            </w:r>
            <w:r w:rsidR="00A26588">
              <w:rPr>
                <w:b/>
                <w:i/>
              </w:rPr>
              <w:t xml:space="preserve"> </w:t>
            </w:r>
            <w:r w:rsidR="00A26588" w:rsidRPr="00A26588">
              <w:t>and the a</w:t>
            </w:r>
            <w:r w:rsidRPr="00A26588">
              <w:t>pplication</w:t>
            </w:r>
            <w:r w:rsidRPr="00695E9E">
              <w:t xml:space="preserve"> deadline is</w:t>
            </w:r>
            <w:r>
              <w:rPr>
                <w:i/>
              </w:rPr>
              <w:t xml:space="preserve"> </w:t>
            </w:r>
            <w:proofErr w:type="gramStart"/>
            <w:r w:rsidR="00185CA1" w:rsidRPr="00185CA1">
              <w:rPr>
                <w:b/>
                <w:bCs/>
                <w:i/>
              </w:rPr>
              <w:t>April</w:t>
            </w:r>
            <w:r w:rsidR="00185CA1">
              <w:rPr>
                <w:i/>
              </w:rPr>
              <w:t xml:space="preserve"> </w:t>
            </w:r>
            <w:r w:rsidR="009612E4" w:rsidRPr="009612E4">
              <w:rPr>
                <w:b/>
                <w:i/>
              </w:rPr>
              <w:t xml:space="preserve"> 3</w:t>
            </w:r>
            <w:r w:rsidR="00185CA1">
              <w:rPr>
                <w:b/>
                <w:i/>
              </w:rPr>
              <w:t>0</w:t>
            </w:r>
            <w:proofErr w:type="gramEnd"/>
            <w:r w:rsidR="00185CA1" w:rsidRPr="00185CA1">
              <w:rPr>
                <w:b/>
                <w:i/>
                <w:vertAlign w:val="superscript"/>
              </w:rPr>
              <w:t>th</w:t>
            </w:r>
            <w:r w:rsidR="00185CA1">
              <w:rPr>
                <w:b/>
                <w:i/>
              </w:rPr>
              <w:t xml:space="preserve"> </w:t>
            </w:r>
            <w:r w:rsidR="00A26588">
              <w:rPr>
                <w:b/>
                <w:i/>
              </w:rPr>
              <w:t xml:space="preserve"> </w:t>
            </w:r>
            <w:r w:rsidR="009612E4">
              <w:t>of each calendar year.</w:t>
            </w:r>
          </w:p>
          <w:p w14:paraId="7C96EFFA" w14:textId="77777777" w:rsidR="00D348A1" w:rsidRPr="00BE4419" w:rsidRDefault="00D348A1" w:rsidP="00A26588">
            <w:pPr>
              <w:spacing w:line="276" w:lineRule="auto"/>
              <w:jc w:val="both"/>
              <w:rPr>
                <w:i/>
              </w:rPr>
            </w:pPr>
          </w:p>
          <w:p w14:paraId="45814B85" w14:textId="351162F8" w:rsidR="00D348A1" w:rsidRDefault="00D348A1" w:rsidP="00A26588">
            <w:pPr>
              <w:spacing w:line="276" w:lineRule="auto"/>
              <w:jc w:val="both"/>
            </w:pPr>
            <w:r>
              <w:t>The Business</w:t>
            </w:r>
            <w:r w:rsidR="00AD4C26">
              <w:t xml:space="preserve"> Façade Improvement P</w:t>
            </w:r>
            <w:r>
              <w:t xml:space="preserve">rogram is offered by the </w:t>
            </w:r>
            <w:r w:rsidR="00452134">
              <w:t>Village of Clinto</w:t>
            </w:r>
            <w:r w:rsidR="003266F0">
              <w:t xml:space="preserve">n </w:t>
            </w:r>
            <w:r>
              <w:t>with funding provided by Northern Development Initiative Trust.</w:t>
            </w:r>
          </w:p>
          <w:p w14:paraId="0C3B1758" w14:textId="77777777" w:rsidR="00D348A1" w:rsidRDefault="00D348A1" w:rsidP="00D348A1"/>
        </w:tc>
      </w:tr>
    </w:tbl>
    <w:p w14:paraId="59132D6A" w14:textId="3F474B2E" w:rsidR="009C67A2" w:rsidRPr="00D348A1" w:rsidRDefault="00EF27DE">
      <w:pPr>
        <w:rPr>
          <w:rFonts w:ascii="Calibri" w:eastAsia="Times New Roman" w:hAnsi="Calibri" w:cs="Arial"/>
          <w:b/>
          <w:color w:val="1F497D"/>
          <w:sz w:val="24"/>
          <w:lang w:val="en-CA" w:eastAsia="en-CA"/>
        </w:rPr>
      </w:pPr>
      <w:r w:rsidRPr="00A57681">
        <w:rPr>
          <w:rFonts w:ascii="Calibri" w:eastAsia="Times New Roman" w:hAnsi="Calibri" w:cs="Arial"/>
          <w:b/>
          <w:color w:val="1F497D"/>
          <w:sz w:val="24"/>
          <w:lang w:val="en-CA" w:eastAsia="en-CA"/>
        </w:rPr>
        <w:t xml:space="preserve">The Program </w:t>
      </w:r>
    </w:p>
    <w:p w14:paraId="37709DE4" w14:textId="77777777" w:rsidR="00A26588" w:rsidRDefault="00A26588">
      <w:pPr>
        <w:rPr>
          <w:rFonts w:ascii="Calibri" w:eastAsia="Times New Roman" w:hAnsi="Calibri" w:cs="Arial"/>
          <w:b/>
          <w:color w:val="1F497D"/>
          <w:sz w:val="24"/>
          <w:lang w:val="en-CA" w:eastAsia="en-CA"/>
        </w:rPr>
      </w:pPr>
    </w:p>
    <w:p w14:paraId="432A362C" w14:textId="77777777" w:rsidR="00A26588" w:rsidRDefault="00A26588">
      <w:pPr>
        <w:rPr>
          <w:rFonts w:ascii="Calibri" w:eastAsia="Times New Roman" w:hAnsi="Calibri" w:cs="Arial"/>
          <w:b/>
          <w:color w:val="1F497D"/>
          <w:sz w:val="24"/>
          <w:lang w:val="en-CA" w:eastAsia="en-CA"/>
        </w:rPr>
      </w:pPr>
    </w:p>
    <w:p w14:paraId="069445D7" w14:textId="77777777" w:rsidR="00A26588" w:rsidRDefault="00A26588">
      <w:pPr>
        <w:rPr>
          <w:rFonts w:ascii="Calibri" w:eastAsia="Times New Roman" w:hAnsi="Calibri" w:cs="Arial"/>
          <w:b/>
          <w:color w:val="1F497D"/>
          <w:sz w:val="24"/>
          <w:lang w:val="en-CA" w:eastAsia="en-CA"/>
        </w:rPr>
      </w:pPr>
    </w:p>
    <w:p w14:paraId="4FC2199E" w14:textId="456D20E8" w:rsidR="00EF27DE" w:rsidRDefault="00EF27DE">
      <w:pPr>
        <w:rPr>
          <w:rFonts w:ascii="Calibri" w:eastAsia="Times New Roman" w:hAnsi="Calibri" w:cs="Arial"/>
          <w:b/>
          <w:color w:val="1F497D"/>
          <w:sz w:val="24"/>
          <w:lang w:val="en-CA" w:eastAsia="en-CA"/>
        </w:rPr>
      </w:pPr>
      <w:r w:rsidRPr="00A57681">
        <w:rPr>
          <w:rFonts w:ascii="Calibri" w:eastAsia="Times New Roman" w:hAnsi="Calibri" w:cs="Arial"/>
          <w:b/>
          <w:color w:val="1F497D"/>
          <w:sz w:val="24"/>
          <w:lang w:val="en-CA" w:eastAsia="en-CA"/>
        </w:rPr>
        <w:t xml:space="preserve">Eligible Properties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9"/>
      </w:tblGrid>
      <w:tr w:rsidR="009011E5" w14:paraId="7DCE7F76" w14:textId="77777777" w:rsidTr="00A26588">
        <w:trPr>
          <w:trHeight w:val="924"/>
        </w:trPr>
        <w:tc>
          <w:tcPr>
            <w:tcW w:w="8969" w:type="dxa"/>
          </w:tcPr>
          <w:p w14:paraId="05FE09E6" w14:textId="674408D5" w:rsidR="009011E5" w:rsidRPr="00A26588" w:rsidRDefault="004F151D">
            <w:pPr>
              <w:rPr>
                <w:i/>
              </w:rPr>
            </w:pPr>
            <w:r>
              <w:rPr>
                <w:i/>
              </w:rPr>
              <w:t>Only p</w:t>
            </w:r>
            <w:r w:rsidR="003266F0">
              <w:rPr>
                <w:i/>
              </w:rPr>
              <w:t xml:space="preserve">roperties located on the Highway 97 Commercial Corridor </w:t>
            </w:r>
            <w:r w:rsidR="00E77F1D">
              <w:rPr>
                <w:i/>
              </w:rPr>
              <w:t xml:space="preserve">in the Village of Clinton </w:t>
            </w:r>
            <w:r w:rsidR="003266F0">
              <w:rPr>
                <w:i/>
              </w:rPr>
              <w:t>are eligible to apply for funding.</w:t>
            </w:r>
          </w:p>
        </w:tc>
      </w:tr>
    </w:tbl>
    <w:p w14:paraId="7F612B1C" w14:textId="31447E4A" w:rsidR="005000B3" w:rsidRDefault="00EF27DE" w:rsidP="005000B3">
      <w:pPr>
        <w:spacing w:after="0"/>
        <w:rPr>
          <w:rFonts w:ascii="Calibri" w:eastAsia="Times New Roman" w:hAnsi="Calibri" w:cs="Arial"/>
          <w:b/>
          <w:color w:val="1F497D"/>
          <w:sz w:val="24"/>
          <w:lang w:val="en-CA" w:eastAsia="en-CA"/>
        </w:rPr>
      </w:pPr>
      <w:r w:rsidRPr="00ED3145">
        <w:rPr>
          <w:rFonts w:ascii="Calibri" w:eastAsia="Times New Roman" w:hAnsi="Calibri" w:cs="Arial"/>
          <w:b/>
          <w:color w:val="1F497D"/>
          <w:sz w:val="24"/>
          <w:lang w:val="en-CA" w:eastAsia="en-CA"/>
        </w:rPr>
        <w:t>Eligible Applicants</w:t>
      </w:r>
    </w:p>
    <w:p w14:paraId="4DBFDB6A" w14:textId="4BF0FF10" w:rsidR="00647005" w:rsidRPr="00ED3145" w:rsidRDefault="00647005" w:rsidP="00585159">
      <w:pPr>
        <w:pStyle w:val="ListParagraph"/>
        <w:numPr>
          <w:ilvl w:val="0"/>
          <w:numId w:val="3"/>
        </w:numPr>
        <w:jc w:val="both"/>
      </w:pPr>
      <w:r w:rsidRPr="00ED3145">
        <w:t xml:space="preserve">You must be either the property owner or </w:t>
      </w:r>
      <w:r w:rsidR="004F151D">
        <w:t xml:space="preserve">the </w:t>
      </w:r>
      <w:r w:rsidRPr="00ED3145">
        <w:t>business owner</w:t>
      </w:r>
      <w:r w:rsidR="004F151D">
        <w:t>.</w:t>
      </w:r>
      <w:r w:rsidRPr="00ED3145">
        <w:t xml:space="preserve"> </w:t>
      </w:r>
      <w:r w:rsidR="004F151D">
        <w:t xml:space="preserve">If </w:t>
      </w:r>
      <w:r w:rsidRPr="00ED3145">
        <w:t xml:space="preserve">the applicant is the business owner, the property owner must </w:t>
      </w:r>
      <w:r w:rsidR="004F151D">
        <w:t xml:space="preserve">provide a letter of </w:t>
      </w:r>
      <w:r w:rsidRPr="00ED3145">
        <w:t>approv</w:t>
      </w:r>
      <w:r w:rsidR="004F151D">
        <w:t xml:space="preserve">al to accompany the application. </w:t>
      </w:r>
    </w:p>
    <w:p w14:paraId="67417373" w14:textId="77777777" w:rsidR="00185CA1" w:rsidRDefault="00185CA1" w:rsidP="00185CA1">
      <w:pPr>
        <w:pStyle w:val="ListParagraph"/>
        <w:numPr>
          <w:ilvl w:val="0"/>
          <w:numId w:val="3"/>
        </w:numPr>
        <w:spacing w:before="120" w:after="120" w:line="300" w:lineRule="auto"/>
        <w:jc w:val="both"/>
      </w:pPr>
      <w:r w:rsidRPr="00ED3145">
        <w:t xml:space="preserve">Non-profit and </w:t>
      </w:r>
      <w:r>
        <w:t>e</w:t>
      </w:r>
      <w:r w:rsidRPr="00ED3145">
        <w:t xml:space="preserve">nterprising </w:t>
      </w:r>
      <w:r>
        <w:t>n</w:t>
      </w:r>
      <w:r w:rsidRPr="00ED3145">
        <w:t>on-</w:t>
      </w:r>
      <w:r>
        <w:t>p</w:t>
      </w:r>
      <w:r w:rsidRPr="00ED3145">
        <w:t>rofit organizations (tenants)</w:t>
      </w:r>
    </w:p>
    <w:p w14:paraId="4E821E78" w14:textId="77777777" w:rsidR="00647005" w:rsidRPr="00ED3145" w:rsidRDefault="00647005" w:rsidP="00585159">
      <w:pPr>
        <w:pStyle w:val="ListParagraph"/>
        <w:numPr>
          <w:ilvl w:val="0"/>
          <w:numId w:val="3"/>
        </w:numPr>
        <w:jc w:val="both"/>
      </w:pPr>
      <w:r w:rsidRPr="00ED3145">
        <w:t xml:space="preserve">All property taxes pertaining to the property are fully paid and </w:t>
      </w:r>
      <w:proofErr w:type="gramStart"/>
      <w:r w:rsidRPr="00ED3145">
        <w:t>current;</w:t>
      </w:r>
      <w:proofErr w:type="gramEnd"/>
      <w:r w:rsidRPr="00ED3145">
        <w:t xml:space="preserve"> </w:t>
      </w:r>
    </w:p>
    <w:p w14:paraId="70D7B789" w14:textId="77777777" w:rsidR="00647005" w:rsidRPr="00ED3145" w:rsidRDefault="00647005" w:rsidP="00585159">
      <w:pPr>
        <w:pStyle w:val="ListParagraph"/>
        <w:numPr>
          <w:ilvl w:val="0"/>
          <w:numId w:val="3"/>
        </w:numPr>
        <w:jc w:val="both"/>
      </w:pPr>
      <w:r w:rsidRPr="00ED3145">
        <w:t xml:space="preserve">There must be a current, valid business licenses for the property (unless </w:t>
      </w:r>
      <w:r w:rsidR="009E789F">
        <w:t xml:space="preserve">otherwise </w:t>
      </w:r>
      <w:r w:rsidR="00256AD7" w:rsidRPr="00ED3145">
        <w:t>ex</w:t>
      </w:r>
      <w:r w:rsidRPr="00ED3145">
        <w:t>em</w:t>
      </w:r>
      <w:r w:rsidR="00256AD7" w:rsidRPr="00ED3145">
        <w:t>p</w:t>
      </w:r>
      <w:r w:rsidRPr="00ED3145">
        <w:t xml:space="preserve">t); </w:t>
      </w:r>
    </w:p>
    <w:p w14:paraId="1EA8E9B9" w14:textId="77777777" w:rsidR="00647005" w:rsidRPr="00ED3145" w:rsidRDefault="00256AD7" w:rsidP="00585159">
      <w:pPr>
        <w:pStyle w:val="ListParagraph"/>
        <w:numPr>
          <w:ilvl w:val="0"/>
          <w:numId w:val="3"/>
        </w:numPr>
        <w:jc w:val="both"/>
      </w:pPr>
      <w:r w:rsidRPr="00ED3145">
        <w:t>There must be no outstanding building permits, stop work orders, or development permit condition requirements outstanding; and</w:t>
      </w:r>
    </w:p>
    <w:p w14:paraId="48C0778D" w14:textId="77777777" w:rsidR="00185CA1" w:rsidRPr="00C86EB9" w:rsidRDefault="00185CA1" w:rsidP="00185CA1">
      <w:pPr>
        <w:pStyle w:val="ListParagraph"/>
        <w:numPr>
          <w:ilvl w:val="0"/>
          <w:numId w:val="3"/>
        </w:numPr>
        <w:spacing w:before="120" w:after="120" w:line="300" w:lineRule="auto"/>
        <w:jc w:val="both"/>
        <w:rPr>
          <w:b/>
          <w:bCs/>
        </w:rPr>
      </w:pPr>
      <w:r w:rsidRPr="00C86EB9">
        <w:rPr>
          <w:b/>
          <w:bCs/>
        </w:rPr>
        <w:t>Subject building has not received a previous grant under this program for the proposed improvements</w:t>
      </w:r>
    </w:p>
    <w:p w14:paraId="19D511F8" w14:textId="77777777" w:rsidR="00E06D68" w:rsidRDefault="00E06D68" w:rsidP="00585159">
      <w:pPr>
        <w:pStyle w:val="ListParagraph"/>
        <w:numPr>
          <w:ilvl w:val="0"/>
          <w:numId w:val="3"/>
        </w:numPr>
        <w:jc w:val="both"/>
      </w:pPr>
      <w:r w:rsidRPr="00ED3145">
        <w:t>Home bas</w:t>
      </w:r>
      <w:r w:rsidR="006174F8" w:rsidRPr="00ED3145">
        <w:t>ed businesses which are zoned commercial, have a storefront and are within the specified area.</w:t>
      </w:r>
    </w:p>
    <w:p w14:paraId="4DBD49AC" w14:textId="77777777" w:rsidR="00585159" w:rsidRDefault="00585159" w:rsidP="005000B3">
      <w:pPr>
        <w:spacing w:after="0"/>
        <w:rPr>
          <w:rFonts w:ascii="Calibri" w:eastAsia="Times New Roman" w:hAnsi="Calibri" w:cs="Arial"/>
          <w:b/>
          <w:color w:val="1F497D"/>
          <w:sz w:val="24"/>
          <w:lang w:val="en-CA" w:eastAsia="en-CA"/>
        </w:rPr>
      </w:pPr>
    </w:p>
    <w:p w14:paraId="28FF080A" w14:textId="365DF643" w:rsidR="00EF27DE" w:rsidRPr="00ED3145" w:rsidRDefault="00EF27DE" w:rsidP="005000B3">
      <w:pPr>
        <w:spacing w:after="0"/>
        <w:rPr>
          <w:rFonts w:ascii="Calibri" w:eastAsia="Times New Roman" w:hAnsi="Calibri" w:cs="Arial"/>
          <w:b/>
          <w:color w:val="1F497D"/>
          <w:sz w:val="24"/>
          <w:lang w:val="en-CA" w:eastAsia="en-CA"/>
        </w:rPr>
      </w:pPr>
      <w:r w:rsidRPr="00ED3145">
        <w:rPr>
          <w:rFonts w:ascii="Calibri" w:eastAsia="Times New Roman" w:hAnsi="Calibri" w:cs="Arial"/>
          <w:b/>
          <w:color w:val="1F497D"/>
          <w:sz w:val="24"/>
          <w:lang w:val="en-CA" w:eastAsia="en-CA"/>
        </w:rPr>
        <w:t xml:space="preserve">Ineligible Applicants </w:t>
      </w:r>
    </w:p>
    <w:p w14:paraId="5AE42CCA" w14:textId="5048B957" w:rsidR="00256AD7" w:rsidRDefault="00256AD7" w:rsidP="00585159">
      <w:pPr>
        <w:pStyle w:val="ListParagraph"/>
        <w:numPr>
          <w:ilvl w:val="0"/>
          <w:numId w:val="3"/>
        </w:numPr>
        <w:jc w:val="both"/>
      </w:pPr>
      <w:r w:rsidRPr="00ED3145">
        <w:t xml:space="preserve">Residential homes are not </w:t>
      </w:r>
      <w:proofErr w:type="gramStart"/>
      <w:r w:rsidRPr="00ED3145">
        <w:t>eligible;</w:t>
      </w:r>
      <w:proofErr w:type="gramEnd"/>
      <w:r w:rsidRPr="00ED3145">
        <w:t xml:space="preserve"> </w:t>
      </w:r>
      <w:r w:rsidR="00BE5DA2" w:rsidRPr="00ED3145">
        <w:t xml:space="preserve"> </w:t>
      </w:r>
    </w:p>
    <w:p w14:paraId="7C465FB6" w14:textId="0A7A233B" w:rsidR="00CF67DC" w:rsidRPr="00ED3145" w:rsidRDefault="00CF67DC" w:rsidP="00585159">
      <w:pPr>
        <w:pStyle w:val="ListParagraph"/>
        <w:numPr>
          <w:ilvl w:val="0"/>
          <w:numId w:val="3"/>
        </w:numPr>
        <w:jc w:val="both"/>
      </w:pPr>
      <w:r>
        <w:t xml:space="preserve">Apartment buildings </w:t>
      </w:r>
    </w:p>
    <w:p w14:paraId="7E973452" w14:textId="10FB18BF" w:rsidR="00256AD7" w:rsidRPr="00ED3145" w:rsidRDefault="00CF67DC" w:rsidP="00585159">
      <w:pPr>
        <w:pStyle w:val="ListParagraph"/>
        <w:numPr>
          <w:ilvl w:val="0"/>
          <w:numId w:val="3"/>
        </w:numPr>
        <w:jc w:val="both"/>
      </w:pPr>
      <w:r>
        <w:t>Government owned (municipal, provincial or federal)</w:t>
      </w:r>
      <w:r w:rsidR="00256AD7" w:rsidRPr="00ED3145">
        <w:t xml:space="preserve"> buildings (even if they have business tenants</w:t>
      </w:r>
      <w:proofErr w:type="gramStart"/>
      <w:r w:rsidR="00256AD7" w:rsidRPr="00ED3145">
        <w:t>);</w:t>
      </w:r>
      <w:proofErr w:type="gramEnd"/>
    </w:p>
    <w:p w14:paraId="09BF200F" w14:textId="77777777" w:rsidR="00256AD7" w:rsidRPr="00ED3145" w:rsidRDefault="00256AD7" w:rsidP="00585159">
      <w:pPr>
        <w:pStyle w:val="ListParagraph"/>
        <w:numPr>
          <w:ilvl w:val="0"/>
          <w:numId w:val="3"/>
        </w:numPr>
        <w:jc w:val="both"/>
      </w:pPr>
      <w:r w:rsidRPr="00ED3145">
        <w:t>Properties outside the specified area (as defined in the community’s program guidelines);</w:t>
      </w:r>
    </w:p>
    <w:p w14:paraId="043D9314" w14:textId="77777777" w:rsidR="00256AD7" w:rsidRPr="00ED3145" w:rsidRDefault="001021FF" w:rsidP="00585159">
      <w:pPr>
        <w:pStyle w:val="ListParagraph"/>
        <w:numPr>
          <w:ilvl w:val="0"/>
          <w:numId w:val="3"/>
        </w:numPr>
        <w:jc w:val="both"/>
      </w:pPr>
      <w:r w:rsidRPr="00ED3145">
        <w:t xml:space="preserve">Empty buildings or businesses that are not operating (exception if the business is renovating or doing improvements to the building in anticipation of </w:t>
      </w:r>
      <w:r w:rsidR="009E789F">
        <w:t>re-</w:t>
      </w:r>
      <w:r w:rsidRPr="00ED3145">
        <w:t>opening)</w:t>
      </w:r>
    </w:p>
    <w:p w14:paraId="731CD60E" w14:textId="77777777" w:rsidR="00585159" w:rsidRDefault="00585159" w:rsidP="005000B3">
      <w:pPr>
        <w:spacing w:after="0"/>
        <w:rPr>
          <w:rFonts w:ascii="Calibri" w:eastAsia="Times New Roman" w:hAnsi="Calibri" w:cs="Arial"/>
          <w:b/>
          <w:color w:val="1F497D"/>
          <w:sz w:val="24"/>
          <w:lang w:val="en-CA" w:eastAsia="en-CA"/>
        </w:rPr>
      </w:pPr>
    </w:p>
    <w:p w14:paraId="49401F83" w14:textId="71C02373" w:rsidR="00EF27DE" w:rsidRPr="00ED3145" w:rsidRDefault="00EF27DE" w:rsidP="005000B3">
      <w:pPr>
        <w:spacing w:after="0"/>
        <w:rPr>
          <w:rFonts w:ascii="Calibri" w:eastAsia="Times New Roman" w:hAnsi="Calibri" w:cs="Arial"/>
          <w:b/>
          <w:color w:val="1F497D"/>
          <w:sz w:val="24"/>
          <w:lang w:val="en-CA" w:eastAsia="en-CA"/>
        </w:rPr>
      </w:pPr>
      <w:r w:rsidRPr="00ED3145">
        <w:rPr>
          <w:rFonts w:ascii="Calibri" w:eastAsia="Times New Roman" w:hAnsi="Calibri" w:cs="Arial"/>
          <w:b/>
          <w:color w:val="1F497D"/>
          <w:sz w:val="24"/>
          <w:lang w:val="en-CA" w:eastAsia="en-CA"/>
        </w:rPr>
        <w:t xml:space="preserve">Eligible Façade Improvements </w:t>
      </w:r>
    </w:p>
    <w:p w14:paraId="3C05B5BD" w14:textId="77777777" w:rsidR="00256AD7" w:rsidRPr="00ED3145" w:rsidRDefault="00256AD7" w:rsidP="00585159">
      <w:pPr>
        <w:spacing w:after="0"/>
        <w:jc w:val="both"/>
      </w:pPr>
      <w:r w:rsidRPr="00ED3145">
        <w:t xml:space="preserve">Eligible improvements may consist of but are not limited to: </w:t>
      </w:r>
    </w:p>
    <w:p w14:paraId="4873CE27" w14:textId="77777777" w:rsidR="00185CA1" w:rsidRPr="00ED3145" w:rsidRDefault="00185CA1" w:rsidP="00185CA1">
      <w:pPr>
        <w:pStyle w:val="ListParagraph"/>
        <w:numPr>
          <w:ilvl w:val="0"/>
          <w:numId w:val="4"/>
        </w:numPr>
        <w:spacing w:before="120" w:after="120" w:line="300" w:lineRule="auto"/>
        <w:jc w:val="both"/>
      </w:pPr>
      <w:r w:rsidRPr="00ED3145">
        <w:t>Exterior lighting (new but not replacement)</w:t>
      </w:r>
    </w:p>
    <w:p w14:paraId="1DB895F2" w14:textId="77777777" w:rsidR="00185CA1" w:rsidRPr="00ED3145" w:rsidRDefault="00185CA1" w:rsidP="00185CA1">
      <w:pPr>
        <w:pStyle w:val="ListParagraph"/>
        <w:numPr>
          <w:ilvl w:val="0"/>
          <w:numId w:val="4"/>
        </w:numPr>
        <w:spacing w:before="120" w:after="120" w:line="300" w:lineRule="auto"/>
        <w:jc w:val="both"/>
      </w:pPr>
      <w:r w:rsidRPr="00ED3145">
        <w:t>Exterior architectural features</w:t>
      </w:r>
    </w:p>
    <w:p w14:paraId="4D5D2E58" w14:textId="77777777" w:rsidR="00185CA1" w:rsidRPr="00ED3145" w:rsidRDefault="00185CA1" w:rsidP="00185CA1">
      <w:pPr>
        <w:pStyle w:val="ListParagraph"/>
        <w:numPr>
          <w:ilvl w:val="0"/>
          <w:numId w:val="4"/>
        </w:numPr>
        <w:spacing w:before="120" w:after="120" w:line="300" w:lineRule="auto"/>
        <w:jc w:val="both"/>
      </w:pPr>
      <w:r w:rsidRPr="00ED3145">
        <w:t>Exterior surfaces and details (decorative details, moldings, trims etc.)</w:t>
      </w:r>
    </w:p>
    <w:p w14:paraId="0AC7C01C" w14:textId="77777777" w:rsidR="00185CA1" w:rsidRPr="00ED3145" w:rsidRDefault="00185CA1" w:rsidP="00185CA1">
      <w:pPr>
        <w:pStyle w:val="ListParagraph"/>
        <w:numPr>
          <w:ilvl w:val="0"/>
          <w:numId w:val="4"/>
        </w:numPr>
        <w:spacing w:before="120" w:after="120" w:line="300" w:lineRule="auto"/>
        <w:jc w:val="both"/>
      </w:pPr>
      <w:r w:rsidRPr="00ED3145">
        <w:t xml:space="preserve">Windows (only if part of larger enhancements, no stand-alone window replacement) </w:t>
      </w:r>
    </w:p>
    <w:p w14:paraId="2C21B95B" w14:textId="77777777" w:rsidR="00185CA1" w:rsidRPr="00ED3145" w:rsidRDefault="00185CA1" w:rsidP="00185CA1">
      <w:pPr>
        <w:pStyle w:val="ListParagraph"/>
        <w:numPr>
          <w:ilvl w:val="0"/>
          <w:numId w:val="4"/>
        </w:numPr>
        <w:spacing w:before="120" w:after="120" w:line="300" w:lineRule="auto"/>
        <w:jc w:val="both"/>
      </w:pPr>
      <w:r w:rsidRPr="00ED3145">
        <w:t>New siding</w:t>
      </w:r>
    </w:p>
    <w:p w14:paraId="24D0A0F7" w14:textId="77777777" w:rsidR="00185CA1" w:rsidRPr="00ED3145" w:rsidRDefault="00185CA1" w:rsidP="00185CA1">
      <w:pPr>
        <w:pStyle w:val="ListParagraph"/>
        <w:numPr>
          <w:ilvl w:val="0"/>
          <w:numId w:val="4"/>
        </w:numPr>
        <w:spacing w:before="120" w:after="120" w:line="300" w:lineRule="auto"/>
        <w:jc w:val="both"/>
      </w:pPr>
      <w:r w:rsidRPr="00ED3145">
        <w:t xml:space="preserve">Façade </w:t>
      </w:r>
      <w:r>
        <w:t>p</w:t>
      </w:r>
      <w:r w:rsidRPr="00ED3145">
        <w:t>ainting</w:t>
      </w:r>
    </w:p>
    <w:p w14:paraId="72BBF374" w14:textId="77777777" w:rsidR="00185CA1" w:rsidRPr="00ED3145" w:rsidRDefault="00185CA1" w:rsidP="00185CA1">
      <w:pPr>
        <w:pStyle w:val="ListParagraph"/>
        <w:numPr>
          <w:ilvl w:val="0"/>
          <w:numId w:val="4"/>
        </w:numPr>
        <w:spacing w:before="120" w:after="120" w:line="300" w:lineRule="auto"/>
        <w:jc w:val="both"/>
      </w:pPr>
      <w:r w:rsidRPr="00ED3145">
        <w:lastRenderedPageBreak/>
        <w:t>Entrances and doorways (only if part of larger enhancements, no stand-alone entrance/doorway replacement</w:t>
      </w:r>
      <w:r>
        <w:t>)</w:t>
      </w:r>
    </w:p>
    <w:p w14:paraId="2F778D2C" w14:textId="77777777" w:rsidR="00185CA1" w:rsidRPr="00ED3145" w:rsidRDefault="00185CA1" w:rsidP="00185CA1">
      <w:pPr>
        <w:pStyle w:val="ListParagraph"/>
        <w:numPr>
          <w:ilvl w:val="0"/>
          <w:numId w:val="4"/>
        </w:numPr>
        <w:spacing w:before="120" w:after="120" w:line="300" w:lineRule="auto"/>
        <w:jc w:val="both"/>
      </w:pPr>
      <w:r w:rsidRPr="00ED3145">
        <w:t>Awnings</w:t>
      </w:r>
    </w:p>
    <w:p w14:paraId="186F9758" w14:textId="77777777" w:rsidR="00185CA1" w:rsidRPr="00185CA1" w:rsidRDefault="00185CA1" w:rsidP="00185CA1">
      <w:pPr>
        <w:pStyle w:val="ListParagraph"/>
        <w:numPr>
          <w:ilvl w:val="0"/>
          <w:numId w:val="4"/>
        </w:numPr>
        <w:spacing w:before="120" w:after="120" w:line="300" w:lineRule="auto"/>
        <w:jc w:val="both"/>
      </w:pPr>
      <w:r w:rsidRPr="00185CA1">
        <w:t>Signage (permanent on applicant property)</w:t>
      </w:r>
    </w:p>
    <w:p w14:paraId="0C0DD3F4" w14:textId="77777777" w:rsidR="00185CA1" w:rsidRPr="008E0EC1" w:rsidRDefault="00185CA1" w:rsidP="00185CA1">
      <w:pPr>
        <w:pStyle w:val="ListParagraph"/>
        <w:numPr>
          <w:ilvl w:val="0"/>
          <w:numId w:val="4"/>
        </w:numPr>
        <w:spacing w:before="120" w:after="120" w:line="300" w:lineRule="auto"/>
        <w:jc w:val="both"/>
      </w:pPr>
      <w:bookmarkStart w:id="0" w:name="_Hlk531449965"/>
      <w:r w:rsidRPr="008E0EC1">
        <w:t>Wayfinding signage (</w:t>
      </w:r>
      <w:r w:rsidRPr="008E0EC1">
        <w:rPr>
          <w:i/>
          <w:u w:val="single"/>
        </w:rPr>
        <w:t>sign located on the business property i.e. at the bottom of a driveway</w:t>
      </w:r>
      <w:r w:rsidRPr="008E0EC1">
        <w:t xml:space="preserve">). </w:t>
      </w:r>
    </w:p>
    <w:p w14:paraId="0988E7F9" w14:textId="77777777" w:rsidR="00185CA1" w:rsidRPr="008E0EC1" w:rsidRDefault="00185CA1" w:rsidP="00185CA1">
      <w:pPr>
        <w:pStyle w:val="ListParagraph"/>
        <w:numPr>
          <w:ilvl w:val="1"/>
          <w:numId w:val="4"/>
        </w:numPr>
        <w:spacing w:before="120" w:after="120" w:line="300" w:lineRule="auto"/>
        <w:jc w:val="both"/>
      </w:pPr>
      <w:r w:rsidRPr="008E0EC1">
        <w:t>Signs are eligible for 50% to a maximum of $500 and must adhere to any signage bylaws and regulations</w:t>
      </w:r>
    </w:p>
    <w:p w14:paraId="6437F500" w14:textId="77777777" w:rsidR="00185CA1" w:rsidRPr="00C86EB9" w:rsidRDefault="00185CA1" w:rsidP="00185CA1">
      <w:pPr>
        <w:pStyle w:val="ListParagraph"/>
        <w:numPr>
          <w:ilvl w:val="0"/>
          <w:numId w:val="4"/>
        </w:numPr>
        <w:spacing w:before="120" w:after="120" w:line="300" w:lineRule="auto"/>
        <w:jc w:val="both"/>
        <w:rPr>
          <w:b/>
          <w:bCs/>
        </w:rPr>
      </w:pPr>
      <w:r w:rsidRPr="00C86EB9" w:rsidDel="003C16FE">
        <w:rPr>
          <w:b/>
          <w:bCs/>
        </w:rPr>
        <w:t>Accessibility improvements (ramps, wider doors etc.) to the outside of the building only</w:t>
      </w:r>
    </w:p>
    <w:p w14:paraId="51BEEE05" w14:textId="35EC5233" w:rsidR="00185CA1" w:rsidRPr="00185CA1" w:rsidDel="003C16FE" w:rsidRDefault="00185CA1" w:rsidP="00185CA1">
      <w:pPr>
        <w:pStyle w:val="ListParagraph"/>
        <w:numPr>
          <w:ilvl w:val="0"/>
          <w:numId w:val="4"/>
        </w:numPr>
        <w:spacing w:before="120" w:after="120" w:line="300" w:lineRule="auto"/>
        <w:jc w:val="both"/>
      </w:pPr>
      <w:r w:rsidRPr="008E0EC1">
        <w:t xml:space="preserve">Patios </w:t>
      </w:r>
      <w:r w:rsidRPr="00185CA1">
        <w:t>[</w:t>
      </w:r>
      <w:r>
        <w:t>case by case approval</w:t>
      </w:r>
      <w:r w:rsidRPr="00185CA1">
        <w:t>]</w:t>
      </w:r>
    </w:p>
    <w:bookmarkEnd w:id="0"/>
    <w:p w14:paraId="010ED91A" w14:textId="77777777" w:rsidR="00585159" w:rsidRDefault="00585159" w:rsidP="005000B3">
      <w:pPr>
        <w:spacing w:after="0"/>
        <w:rPr>
          <w:rFonts w:ascii="Calibri" w:eastAsia="Times New Roman" w:hAnsi="Calibri" w:cs="Arial"/>
          <w:b/>
          <w:color w:val="1F497D"/>
          <w:sz w:val="24"/>
          <w:lang w:val="en-CA" w:eastAsia="en-CA"/>
        </w:rPr>
      </w:pPr>
    </w:p>
    <w:p w14:paraId="67F5D024" w14:textId="344CCADA" w:rsidR="00EF27DE" w:rsidRPr="00ED3145" w:rsidRDefault="00EF27DE" w:rsidP="005000B3">
      <w:pPr>
        <w:spacing w:after="0"/>
        <w:rPr>
          <w:rFonts w:ascii="Calibri" w:eastAsia="Times New Roman" w:hAnsi="Calibri" w:cs="Arial"/>
          <w:b/>
          <w:color w:val="1F497D"/>
          <w:sz w:val="24"/>
          <w:lang w:val="en-CA" w:eastAsia="en-CA"/>
        </w:rPr>
      </w:pPr>
      <w:r w:rsidRPr="00ED3145">
        <w:rPr>
          <w:rFonts w:ascii="Calibri" w:eastAsia="Times New Roman" w:hAnsi="Calibri" w:cs="Arial"/>
          <w:b/>
          <w:color w:val="1F497D"/>
          <w:sz w:val="24"/>
          <w:lang w:val="en-CA" w:eastAsia="en-CA"/>
        </w:rPr>
        <w:t>Ineligible Façade Improvements</w:t>
      </w:r>
    </w:p>
    <w:p w14:paraId="5C3EED56" w14:textId="77777777" w:rsidR="00256AD7" w:rsidRPr="00ED3145" w:rsidRDefault="00256AD7" w:rsidP="00585159">
      <w:pPr>
        <w:spacing w:after="0"/>
        <w:jc w:val="both"/>
      </w:pPr>
      <w:r w:rsidRPr="00ED3145">
        <w:t xml:space="preserve">The </w:t>
      </w:r>
      <w:r w:rsidR="002E06EA" w:rsidRPr="00ED3145">
        <w:t xml:space="preserve">following </w:t>
      </w:r>
      <w:r w:rsidR="003F092F" w:rsidRPr="00ED3145">
        <w:t>improvements</w:t>
      </w:r>
      <w:r w:rsidRPr="00ED3145">
        <w:t xml:space="preserve"> are ineligible</w:t>
      </w:r>
      <w:r w:rsidR="003F092F" w:rsidRPr="00ED3145">
        <w:t>:</w:t>
      </w:r>
      <w:r w:rsidRPr="00ED3145">
        <w:t xml:space="preserve">  </w:t>
      </w:r>
    </w:p>
    <w:p w14:paraId="0CC102BD" w14:textId="77777777" w:rsidR="00185CA1" w:rsidRPr="00ED3145" w:rsidRDefault="00185CA1" w:rsidP="00185CA1">
      <w:pPr>
        <w:pStyle w:val="ListParagraph"/>
        <w:numPr>
          <w:ilvl w:val="0"/>
          <w:numId w:val="6"/>
        </w:numPr>
        <w:spacing w:before="120" w:after="120" w:line="300" w:lineRule="auto"/>
        <w:jc w:val="both"/>
      </w:pPr>
      <w:r w:rsidRPr="00ED3145">
        <w:t>Routine maintenance</w:t>
      </w:r>
    </w:p>
    <w:p w14:paraId="6392BF3C" w14:textId="77777777" w:rsidR="00185CA1" w:rsidRPr="00ED3145" w:rsidRDefault="00185CA1" w:rsidP="00185CA1">
      <w:pPr>
        <w:pStyle w:val="ListParagraph"/>
        <w:numPr>
          <w:ilvl w:val="0"/>
          <w:numId w:val="6"/>
        </w:numPr>
        <w:spacing w:before="120" w:after="120" w:line="300" w:lineRule="auto"/>
        <w:jc w:val="both"/>
      </w:pPr>
      <w:r w:rsidRPr="00ED3145">
        <w:t>Structural repairs</w:t>
      </w:r>
    </w:p>
    <w:p w14:paraId="0FBF51F1" w14:textId="77777777" w:rsidR="00185CA1" w:rsidRPr="00ED3145" w:rsidRDefault="00185CA1" w:rsidP="00185CA1">
      <w:pPr>
        <w:pStyle w:val="ListParagraph"/>
        <w:numPr>
          <w:ilvl w:val="0"/>
          <w:numId w:val="6"/>
        </w:numPr>
        <w:spacing w:before="120" w:after="120" w:line="300" w:lineRule="auto"/>
        <w:jc w:val="both"/>
      </w:pPr>
      <w:r w:rsidRPr="00ED3145">
        <w:t>Roofs</w:t>
      </w:r>
    </w:p>
    <w:p w14:paraId="39B748AB" w14:textId="77777777" w:rsidR="00185CA1" w:rsidRPr="004F3FA3" w:rsidRDefault="00185CA1" w:rsidP="00185CA1">
      <w:pPr>
        <w:pStyle w:val="ListParagraph"/>
        <w:numPr>
          <w:ilvl w:val="0"/>
          <w:numId w:val="6"/>
        </w:numPr>
        <w:spacing w:before="120" w:after="120" w:line="300" w:lineRule="auto"/>
        <w:jc w:val="both"/>
      </w:pPr>
      <w:r w:rsidRPr="004F3FA3">
        <w:t>Non-permanent fixtures (benches, planters, patio heaters etc.)</w:t>
      </w:r>
    </w:p>
    <w:p w14:paraId="476B91DA" w14:textId="77777777" w:rsidR="00185CA1" w:rsidRPr="004F3FA3" w:rsidRDefault="00185CA1" w:rsidP="00185CA1">
      <w:pPr>
        <w:pStyle w:val="ListParagraph"/>
        <w:numPr>
          <w:ilvl w:val="0"/>
          <w:numId w:val="6"/>
        </w:numPr>
        <w:spacing w:before="120" w:after="120" w:line="300" w:lineRule="auto"/>
        <w:jc w:val="both"/>
      </w:pPr>
      <w:r w:rsidRPr="004F3FA3">
        <w:t>Landscaping</w:t>
      </w:r>
    </w:p>
    <w:p w14:paraId="04C727D9" w14:textId="77777777" w:rsidR="00185CA1" w:rsidRPr="004F3FA3" w:rsidRDefault="00185CA1" w:rsidP="00185CA1">
      <w:pPr>
        <w:pStyle w:val="ListParagraph"/>
        <w:numPr>
          <w:ilvl w:val="0"/>
          <w:numId w:val="6"/>
        </w:numPr>
        <w:spacing w:before="120" w:after="120" w:line="300" w:lineRule="auto"/>
        <w:jc w:val="both"/>
      </w:pPr>
      <w:r w:rsidRPr="004F3FA3">
        <w:t>Paving</w:t>
      </w:r>
    </w:p>
    <w:p w14:paraId="67506687" w14:textId="77777777" w:rsidR="00185CA1" w:rsidRPr="004F3FA3" w:rsidRDefault="00185CA1" w:rsidP="00185CA1">
      <w:pPr>
        <w:pStyle w:val="ListParagraph"/>
        <w:numPr>
          <w:ilvl w:val="0"/>
          <w:numId w:val="6"/>
        </w:numPr>
        <w:spacing w:before="120" w:after="120" w:line="300" w:lineRule="auto"/>
        <w:jc w:val="both"/>
      </w:pPr>
      <w:r w:rsidRPr="004F3FA3">
        <w:t>Fencing</w:t>
      </w:r>
    </w:p>
    <w:p w14:paraId="127A39D0" w14:textId="77777777" w:rsidR="00185CA1" w:rsidRPr="00ED3145" w:rsidRDefault="00185CA1" w:rsidP="00185CA1">
      <w:pPr>
        <w:pStyle w:val="ListParagraph"/>
        <w:numPr>
          <w:ilvl w:val="0"/>
          <w:numId w:val="6"/>
        </w:numPr>
        <w:spacing w:before="120" w:after="120" w:line="300" w:lineRule="auto"/>
        <w:jc w:val="both"/>
      </w:pPr>
      <w:r w:rsidRPr="00ED3145">
        <w:t>Interior/internal improvements</w:t>
      </w:r>
    </w:p>
    <w:p w14:paraId="7608A232" w14:textId="77777777" w:rsidR="00185CA1" w:rsidRPr="00ED3145" w:rsidRDefault="00185CA1" w:rsidP="00185CA1">
      <w:pPr>
        <w:pStyle w:val="ListParagraph"/>
        <w:numPr>
          <w:ilvl w:val="0"/>
          <w:numId w:val="6"/>
        </w:numPr>
        <w:spacing w:before="120" w:after="120" w:line="300" w:lineRule="auto"/>
        <w:jc w:val="both"/>
      </w:pPr>
      <w:r>
        <w:t>I</w:t>
      </w:r>
      <w:r w:rsidRPr="00ED3145">
        <w:t>mprovements not visible from the public right of way</w:t>
      </w:r>
    </w:p>
    <w:p w14:paraId="44435CDD" w14:textId="77777777" w:rsidR="00185CA1" w:rsidRPr="00ED3145" w:rsidRDefault="00185CA1" w:rsidP="00185CA1">
      <w:pPr>
        <w:pStyle w:val="ListParagraph"/>
        <w:numPr>
          <w:ilvl w:val="0"/>
          <w:numId w:val="6"/>
        </w:numPr>
        <w:spacing w:before="120" w:after="120" w:line="300" w:lineRule="auto"/>
        <w:jc w:val="both"/>
      </w:pPr>
      <w:r w:rsidRPr="00ED3145">
        <w:t xml:space="preserve">Construction of additions, accessory </w:t>
      </w:r>
      <w:proofErr w:type="gramStart"/>
      <w:r w:rsidRPr="00ED3145">
        <w:t>buildings</w:t>
      </w:r>
      <w:proofErr w:type="gramEnd"/>
      <w:r w:rsidRPr="00ED3145">
        <w:t xml:space="preserve"> or new buildings</w:t>
      </w:r>
    </w:p>
    <w:p w14:paraId="674E5822" w14:textId="77777777" w:rsidR="00185CA1" w:rsidRPr="00ED76C1" w:rsidRDefault="00185CA1" w:rsidP="00185CA1">
      <w:pPr>
        <w:pStyle w:val="ListParagraph"/>
        <w:numPr>
          <w:ilvl w:val="0"/>
          <w:numId w:val="6"/>
        </w:numPr>
        <w:spacing w:before="120" w:after="120" w:line="300" w:lineRule="auto"/>
        <w:jc w:val="both"/>
      </w:pPr>
      <w:r>
        <w:t>I</w:t>
      </w:r>
      <w:r w:rsidRPr="00ED3145">
        <w:t>mprovements that have been started prior to application approval</w:t>
      </w:r>
    </w:p>
    <w:p w14:paraId="439805FD" w14:textId="77777777" w:rsidR="00185CA1" w:rsidRPr="00ED3145" w:rsidRDefault="00185CA1" w:rsidP="00185CA1">
      <w:pPr>
        <w:pStyle w:val="ListParagraph"/>
        <w:numPr>
          <w:ilvl w:val="0"/>
          <w:numId w:val="6"/>
        </w:numPr>
        <w:spacing w:before="120" w:after="120" w:line="300" w:lineRule="auto"/>
        <w:jc w:val="both"/>
      </w:pPr>
      <w:r>
        <w:t>I</w:t>
      </w:r>
      <w:r w:rsidRPr="00ED3145">
        <w:t xml:space="preserve">mprovements deemed inconsistent with redevelopment purposes and design guidelines </w:t>
      </w:r>
    </w:p>
    <w:p w14:paraId="7D85B305" w14:textId="77777777" w:rsidR="00585159" w:rsidRDefault="00585159" w:rsidP="005000B3">
      <w:pPr>
        <w:spacing w:after="0"/>
        <w:rPr>
          <w:rFonts w:ascii="Calibri" w:eastAsia="Times New Roman" w:hAnsi="Calibri" w:cs="Arial"/>
          <w:b/>
          <w:color w:val="1F497D"/>
          <w:sz w:val="24"/>
          <w:lang w:val="en-CA" w:eastAsia="en-CA"/>
        </w:rPr>
      </w:pPr>
    </w:p>
    <w:p w14:paraId="589B9566" w14:textId="146EE64C" w:rsidR="00EF27DE" w:rsidRPr="00ED3145" w:rsidRDefault="00EF27DE" w:rsidP="005000B3">
      <w:pPr>
        <w:spacing w:after="0"/>
        <w:rPr>
          <w:rFonts w:ascii="Calibri" w:eastAsia="Times New Roman" w:hAnsi="Calibri" w:cs="Arial"/>
          <w:b/>
          <w:color w:val="1F497D"/>
          <w:sz w:val="24"/>
          <w:lang w:val="en-CA" w:eastAsia="en-CA"/>
        </w:rPr>
      </w:pPr>
      <w:r w:rsidRPr="00ED3145">
        <w:rPr>
          <w:rFonts w:ascii="Calibri" w:eastAsia="Times New Roman" w:hAnsi="Calibri" w:cs="Arial"/>
          <w:b/>
          <w:color w:val="1F497D"/>
          <w:sz w:val="24"/>
          <w:lang w:val="en-CA" w:eastAsia="en-CA"/>
        </w:rPr>
        <w:t>Eligible Costs</w:t>
      </w:r>
      <w:r w:rsidR="00256AD7" w:rsidRPr="00ED3145">
        <w:rPr>
          <w:rFonts w:ascii="Calibri" w:eastAsia="Times New Roman" w:hAnsi="Calibri" w:cs="Arial"/>
          <w:b/>
          <w:color w:val="1F497D"/>
          <w:sz w:val="24"/>
          <w:lang w:val="en-CA" w:eastAsia="en-CA"/>
        </w:rPr>
        <w:t>/ Expenses</w:t>
      </w:r>
    </w:p>
    <w:p w14:paraId="7D7AFC43" w14:textId="77777777" w:rsidR="00185CA1" w:rsidRPr="00ED3145" w:rsidRDefault="00185CA1" w:rsidP="00185CA1">
      <w:pPr>
        <w:pStyle w:val="ListParagraph"/>
        <w:numPr>
          <w:ilvl w:val="0"/>
          <w:numId w:val="6"/>
        </w:numPr>
        <w:spacing w:before="120" w:after="120" w:line="300" w:lineRule="auto"/>
        <w:jc w:val="both"/>
      </w:pPr>
      <w:r w:rsidRPr="00ED3145">
        <w:t xml:space="preserve">Direct project </w:t>
      </w:r>
      <w:proofErr w:type="spellStart"/>
      <w:r w:rsidRPr="00ED3145">
        <w:t>labour</w:t>
      </w:r>
      <w:proofErr w:type="spellEnd"/>
      <w:r w:rsidRPr="00ED3145">
        <w:t xml:space="preserve"> costs</w:t>
      </w:r>
    </w:p>
    <w:p w14:paraId="722C9378" w14:textId="77777777" w:rsidR="00185CA1" w:rsidRPr="00ED3145" w:rsidRDefault="00185CA1" w:rsidP="00185CA1">
      <w:pPr>
        <w:pStyle w:val="ListParagraph"/>
        <w:numPr>
          <w:ilvl w:val="0"/>
          <w:numId w:val="6"/>
        </w:numPr>
        <w:spacing w:before="120" w:after="120" w:line="300" w:lineRule="auto"/>
        <w:jc w:val="both"/>
      </w:pPr>
      <w:r w:rsidRPr="00ED3145">
        <w:t>Design, architectural or engineering fees (related to facade only)</w:t>
      </w:r>
    </w:p>
    <w:p w14:paraId="3322499F" w14:textId="77777777" w:rsidR="00185CA1" w:rsidRPr="00ED3145" w:rsidRDefault="00185CA1" w:rsidP="00185CA1">
      <w:pPr>
        <w:pStyle w:val="ListParagraph"/>
        <w:numPr>
          <w:ilvl w:val="0"/>
          <w:numId w:val="6"/>
        </w:numPr>
        <w:spacing w:before="120" w:after="120" w:line="300" w:lineRule="auto"/>
        <w:jc w:val="both"/>
      </w:pPr>
      <w:r w:rsidRPr="00ED3145">
        <w:t>Contractor fees</w:t>
      </w:r>
    </w:p>
    <w:p w14:paraId="456F294F" w14:textId="77777777" w:rsidR="00185CA1" w:rsidRPr="00ED3145" w:rsidRDefault="00185CA1" w:rsidP="00185CA1">
      <w:pPr>
        <w:pStyle w:val="ListParagraph"/>
        <w:numPr>
          <w:ilvl w:val="0"/>
          <w:numId w:val="6"/>
        </w:numPr>
        <w:spacing w:before="120" w:after="120" w:line="300" w:lineRule="auto"/>
        <w:jc w:val="both"/>
      </w:pPr>
      <w:r w:rsidRPr="00ED3145">
        <w:t xml:space="preserve">Rental of tools and equipment </w:t>
      </w:r>
    </w:p>
    <w:p w14:paraId="54909FA7" w14:textId="77777777" w:rsidR="00185CA1" w:rsidRDefault="00185CA1" w:rsidP="00185CA1">
      <w:pPr>
        <w:pStyle w:val="ListParagraph"/>
        <w:numPr>
          <w:ilvl w:val="0"/>
          <w:numId w:val="6"/>
        </w:numPr>
        <w:spacing w:before="120" w:after="120" w:line="300" w:lineRule="auto"/>
        <w:jc w:val="both"/>
      </w:pPr>
      <w:r w:rsidRPr="00ED3145">
        <w:t>Project related materials and supplies</w:t>
      </w:r>
    </w:p>
    <w:p w14:paraId="4B49AF58" w14:textId="77777777" w:rsidR="00185CA1" w:rsidRDefault="00185CA1" w:rsidP="00185CA1">
      <w:pPr>
        <w:pStyle w:val="ListParagraph"/>
        <w:numPr>
          <w:ilvl w:val="0"/>
          <w:numId w:val="6"/>
        </w:numPr>
        <w:spacing w:before="120" w:after="120" w:line="300" w:lineRule="auto"/>
        <w:jc w:val="both"/>
      </w:pPr>
      <w:r>
        <w:t>Shipping and/or freight</w:t>
      </w:r>
    </w:p>
    <w:p w14:paraId="64D8AF77" w14:textId="77777777" w:rsidR="00185CA1" w:rsidRPr="00ED3145" w:rsidRDefault="00185CA1" w:rsidP="00185CA1">
      <w:pPr>
        <w:pStyle w:val="ListParagraph"/>
        <w:numPr>
          <w:ilvl w:val="0"/>
          <w:numId w:val="6"/>
        </w:numPr>
        <w:spacing w:before="120" w:after="120" w:line="300" w:lineRule="auto"/>
        <w:jc w:val="both"/>
      </w:pPr>
      <w:r>
        <w:t xml:space="preserve">PST </w:t>
      </w:r>
    </w:p>
    <w:p w14:paraId="56FBF64E" w14:textId="77777777" w:rsidR="002416C2" w:rsidRPr="00ED3145" w:rsidRDefault="002416C2" w:rsidP="002416C2">
      <w:pPr>
        <w:pStyle w:val="ListParagraph"/>
      </w:pPr>
    </w:p>
    <w:p w14:paraId="57BA9AFD" w14:textId="77777777" w:rsidR="00EF27DE" w:rsidRPr="00ED3145" w:rsidRDefault="00EF27DE" w:rsidP="005000B3">
      <w:pPr>
        <w:spacing w:after="0"/>
      </w:pPr>
      <w:r w:rsidRPr="00ED3145">
        <w:rPr>
          <w:rFonts w:ascii="Calibri" w:eastAsia="Times New Roman" w:hAnsi="Calibri" w:cs="Arial"/>
          <w:b/>
          <w:color w:val="1F497D"/>
          <w:sz w:val="24"/>
          <w:lang w:val="en-CA" w:eastAsia="en-CA"/>
        </w:rPr>
        <w:t>Ineligible Costs</w:t>
      </w:r>
      <w:r w:rsidR="00256AD7" w:rsidRPr="00ED3145">
        <w:rPr>
          <w:rFonts w:ascii="Calibri" w:eastAsia="Times New Roman" w:hAnsi="Calibri" w:cs="Arial"/>
          <w:b/>
          <w:color w:val="1F497D"/>
          <w:sz w:val="24"/>
          <w:lang w:val="en-CA" w:eastAsia="en-CA"/>
        </w:rPr>
        <w:t>/ Expenses</w:t>
      </w:r>
    </w:p>
    <w:p w14:paraId="4697064D" w14:textId="77777777" w:rsidR="00185CA1" w:rsidRPr="00ED3145" w:rsidRDefault="00185CA1" w:rsidP="00185CA1">
      <w:pPr>
        <w:pStyle w:val="ListParagraph"/>
        <w:numPr>
          <w:ilvl w:val="0"/>
          <w:numId w:val="6"/>
        </w:numPr>
        <w:spacing w:before="120" w:after="120" w:line="300" w:lineRule="auto"/>
        <w:jc w:val="both"/>
      </w:pPr>
      <w:r w:rsidRPr="00ED3145">
        <w:t>Staff wages and/or benefits</w:t>
      </w:r>
    </w:p>
    <w:p w14:paraId="2AD99EED" w14:textId="77777777" w:rsidR="00185CA1" w:rsidRPr="00ED3145" w:rsidRDefault="00185CA1" w:rsidP="00185CA1">
      <w:pPr>
        <w:pStyle w:val="ListParagraph"/>
        <w:numPr>
          <w:ilvl w:val="0"/>
          <w:numId w:val="6"/>
        </w:numPr>
        <w:spacing w:before="120" w:after="120" w:line="300" w:lineRule="auto"/>
        <w:jc w:val="both"/>
      </w:pPr>
      <w:r w:rsidRPr="00ED3145">
        <w:lastRenderedPageBreak/>
        <w:t>Purchase of construction tools or equipment</w:t>
      </w:r>
    </w:p>
    <w:p w14:paraId="79B2B399" w14:textId="77777777" w:rsidR="00185CA1" w:rsidRPr="00ED3145" w:rsidRDefault="00185CA1" w:rsidP="00185CA1">
      <w:pPr>
        <w:pStyle w:val="ListParagraph"/>
        <w:numPr>
          <w:ilvl w:val="0"/>
          <w:numId w:val="6"/>
        </w:numPr>
        <w:spacing w:before="120" w:after="120" w:line="300" w:lineRule="auto"/>
        <w:jc w:val="both"/>
      </w:pPr>
      <w:r>
        <w:t>Operational costs including u</w:t>
      </w:r>
      <w:r w:rsidRPr="00ED3145">
        <w:t>tilities (hydro, gas etc.)</w:t>
      </w:r>
    </w:p>
    <w:p w14:paraId="57A0FC0D" w14:textId="77777777" w:rsidR="00185CA1" w:rsidRPr="00ED3145" w:rsidRDefault="00185CA1" w:rsidP="00185CA1">
      <w:pPr>
        <w:pStyle w:val="ListParagraph"/>
        <w:numPr>
          <w:ilvl w:val="0"/>
          <w:numId w:val="6"/>
        </w:numPr>
        <w:spacing w:before="120" w:after="120" w:line="300" w:lineRule="auto"/>
        <w:jc w:val="both"/>
      </w:pPr>
      <w:r w:rsidRPr="00ED3145">
        <w:t>Duties</w:t>
      </w:r>
    </w:p>
    <w:p w14:paraId="55F26825" w14:textId="77777777" w:rsidR="00185CA1" w:rsidRPr="00ED3145" w:rsidRDefault="00185CA1" w:rsidP="00185CA1">
      <w:pPr>
        <w:pStyle w:val="ListParagraph"/>
        <w:numPr>
          <w:ilvl w:val="0"/>
          <w:numId w:val="6"/>
        </w:numPr>
        <w:spacing w:before="120" w:after="120" w:line="300" w:lineRule="auto"/>
        <w:jc w:val="both"/>
      </w:pPr>
      <w:r w:rsidRPr="00ED3145">
        <w:t>Permit fees</w:t>
      </w:r>
    </w:p>
    <w:p w14:paraId="4F924315" w14:textId="77777777" w:rsidR="00185CA1" w:rsidRPr="00ED3145" w:rsidRDefault="00185CA1" w:rsidP="00185CA1">
      <w:pPr>
        <w:pStyle w:val="ListParagraph"/>
        <w:numPr>
          <w:ilvl w:val="0"/>
          <w:numId w:val="6"/>
        </w:numPr>
        <w:spacing w:before="120" w:after="120" w:line="300" w:lineRule="auto"/>
        <w:jc w:val="both"/>
      </w:pPr>
      <w:r w:rsidRPr="00ED3145">
        <w:t xml:space="preserve">Expenses related to improvement to the building façade not visible from the public right of way </w:t>
      </w:r>
    </w:p>
    <w:p w14:paraId="39246F32" w14:textId="77777777" w:rsidR="00185CA1" w:rsidRDefault="00185CA1" w:rsidP="00185CA1">
      <w:pPr>
        <w:pStyle w:val="ListParagraph"/>
        <w:numPr>
          <w:ilvl w:val="0"/>
          <w:numId w:val="6"/>
        </w:numPr>
        <w:spacing w:before="120" w:after="120" w:line="300" w:lineRule="auto"/>
        <w:jc w:val="both"/>
      </w:pPr>
      <w:r w:rsidRPr="00ED3145">
        <w:t>Façade improvement expenses started prior to application approval</w:t>
      </w:r>
    </w:p>
    <w:p w14:paraId="6E786A4A" w14:textId="66092CDA" w:rsidR="00585159" w:rsidRPr="00185CA1" w:rsidRDefault="00185CA1" w:rsidP="00185CA1">
      <w:pPr>
        <w:pStyle w:val="ListParagraph"/>
        <w:numPr>
          <w:ilvl w:val="0"/>
          <w:numId w:val="6"/>
        </w:numPr>
        <w:spacing w:before="120" w:after="120" w:line="300" w:lineRule="auto"/>
        <w:jc w:val="both"/>
      </w:pPr>
      <w:r>
        <w:t>G</w:t>
      </w:r>
      <w:r w:rsidRPr="00ED3145">
        <w:t>ST</w:t>
      </w:r>
    </w:p>
    <w:p w14:paraId="2E7C79D6" w14:textId="77777777" w:rsidR="00042026" w:rsidRDefault="00042026">
      <w:pPr>
        <w:rPr>
          <w:rFonts w:ascii="Calibri" w:eastAsia="Times New Roman" w:hAnsi="Calibri" w:cs="Arial"/>
          <w:b/>
          <w:color w:val="1F497D"/>
          <w:sz w:val="24"/>
          <w:lang w:val="en-CA" w:eastAsia="en-CA"/>
        </w:rPr>
      </w:pPr>
    </w:p>
    <w:p w14:paraId="5C5EE325" w14:textId="3156EABF" w:rsidR="00EF27DE" w:rsidRPr="003F092F" w:rsidRDefault="00EF27DE">
      <w:pPr>
        <w:rPr>
          <w:rFonts w:ascii="Calibri" w:eastAsia="Times New Roman" w:hAnsi="Calibri" w:cs="Arial"/>
          <w:b/>
          <w:color w:val="1F497D"/>
          <w:sz w:val="24"/>
          <w:lang w:val="en-CA" w:eastAsia="en-CA"/>
        </w:rPr>
      </w:pPr>
      <w:r w:rsidRPr="003F092F">
        <w:rPr>
          <w:rFonts w:ascii="Calibri" w:eastAsia="Times New Roman" w:hAnsi="Calibri" w:cs="Arial"/>
          <w:b/>
          <w:color w:val="1F497D"/>
          <w:sz w:val="24"/>
          <w:lang w:val="en-CA" w:eastAsia="en-CA"/>
        </w:rPr>
        <w:t xml:space="preserve">Design Guidelines </w:t>
      </w:r>
    </w:p>
    <w:tbl>
      <w:tblPr>
        <w:tblStyle w:val="TableGrid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9011E5" w14:paraId="05597AAD" w14:textId="77777777" w:rsidTr="002416C2">
        <w:trPr>
          <w:trHeight w:val="688"/>
        </w:trPr>
        <w:tc>
          <w:tcPr>
            <w:tcW w:w="9585" w:type="dxa"/>
          </w:tcPr>
          <w:p w14:paraId="3F3CF588" w14:textId="2849EF85" w:rsidR="009011E5" w:rsidRDefault="009612E4" w:rsidP="00585159">
            <w:pPr>
              <w:spacing w:line="276" w:lineRule="auto"/>
              <w:jc w:val="both"/>
            </w:pPr>
            <w:r>
              <w:t>To</w:t>
            </w:r>
            <w:r w:rsidR="009011E5">
              <w:t xml:space="preserve"> be eligible for this grant, the applicant must submit designs and costing for the project. </w:t>
            </w:r>
            <w:r>
              <w:t>Only permanent façade improvements will be funded.</w:t>
            </w:r>
          </w:p>
          <w:p w14:paraId="57A80E8F" w14:textId="16EAE0A4" w:rsidR="009011E5" w:rsidRPr="00D53E85" w:rsidRDefault="009011E5" w:rsidP="00585159">
            <w:pPr>
              <w:spacing w:line="276" w:lineRule="auto"/>
              <w:jc w:val="both"/>
              <w:rPr>
                <w:i/>
              </w:rPr>
            </w:pPr>
          </w:p>
          <w:p w14:paraId="65435D56" w14:textId="25A8782F" w:rsidR="009011E5" w:rsidRDefault="009612E4" w:rsidP="00585159">
            <w:pPr>
              <w:spacing w:line="276" w:lineRule="auto"/>
              <w:jc w:val="both"/>
            </w:pPr>
            <w:r>
              <w:t xml:space="preserve">Grants will be awarded </w:t>
            </w:r>
            <w:r w:rsidR="00913349">
              <w:t xml:space="preserve">by merit of the proposal and </w:t>
            </w:r>
            <w:r w:rsidR="006B79CF">
              <w:t>degree of impact to the highway corridor.</w:t>
            </w:r>
          </w:p>
          <w:p w14:paraId="13FE54EB" w14:textId="77777777" w:rsidR="009612E4" w:rsidRDefault="009612E4" w:rsidP="00585159">
            <w:pPr>
              <w:spacing w:line="276" w:lineRule="auto"/>
              <w:jc w:val="both"/>
            </w:pPr>
          </w:p>
          <w:p w14:paraId="6460A0D4" w14:textId="3AEEC80A" w:rsidR="009011E5" w:rsidRDefault="009011E5" w:rsidP="00585159">
            <w:pPr>
              <w:spacing w:line="276" w:lineRule="auto"/>
              <w:jc w:val="both"/>
            </w:pPr>
            <w:r>
              <w:t xml:space="preserve">Designs </w:t>
            </w:r>
            <w:r w:rsidR="007F3E0B">
              <w:t>should</w:t>
            </w:r>
            <w:r>
              <w:t xml:space="preserve"> clearly outline the proposed improvements</w:t>
            </w:r>
            <w:r w:rsidR="007F3E0B">
              <w:t xml:space="preserve"> and a finished look, </w:t>
            </w:r>
            <w:r>
              <w:t xml:space="preserve">to allow </w:t>
            </w:r>
            <w:r w:rsidR="007F3E0B">
              <w:t xml:space="preserve">appropriate </w:t>
            </w:r>
            <w:r>
              <w:t>evaluat</w:t>
            </w:r>
            <w:r w:rsidR="007F3E0B">
              <w:t>ion of</w:t>
            </w:r>
            <w:r>
              <w:t xml:space="preserve"> the project</w:t>
            </w:r>
            <w:r w:rsidR="007F3E0B">
              <w:t>.</w:t>
            </w:r>
          </w:p>
          <w:p w14:paraId="6A06D721" w14:textId="77777777" w:rsidR="009011E5" w:rsidRDefault="009011E5" w:rsidP="00585159">
            <w:pPr>
              <w:spacing w:line="276" w:lineRule="auto"/>
              <w:jc w:val="both"/>
            </w:pPr>
          </w:p>
          <w:p w14:paraId="2377FF55" w14:textId="35348568" w:rsidR="009011E5" w:rsidRDefault="009011E5" w:rsidP="00585159">
            <w:pPr>
              <w:spacing w:line="276" w:lineRule="auto"/>
              <w:jc w:val="both"/>
            </w:pPr>
            <w:r>
              <w:t xml:space="preserve">As </w:t>
            </w:r>
            <w:r w:rsidR="007F3E0B">
              <w:t>much</w:t>
            </w:r>
            <w:r>
              <w:t xml:space="preserve"> as possible, projects </w:t>
            </w:r>
            <w:r w:rsidR="007F3E0B">
              <w:t>should</w:t>
            </w:r>
            <w:r>
              <w:t xml:space="preserve"> be consistent with the general form and character of the design </w:t>
            </w:r>
            <w:r w:rsidR="009612E4">
              <w:t>guidelines set out for the area and must comply with Village policies and bylaws.</w:t>
            </w:r>
          </w:p>
          <w:p w14:paraId="4D8B1A66" w14:textId="77777777" w:rsidR="009011E5" w:rsidRDefault="009011E5" w:rsidP="00585159">
            <w:pPr>
              <w:spacing w:line="276" w:lineRule="auto"/>
              <w:jc w:val="both"/>
            </w:pPr>
          </w:p>
          <w:p w14:paraId="1B10D00C" w14:textId="656238C4" w:rsidR="009011E5" w:rsidRDefault="009612E4" w:rsidP="00585159">
            <w:pPr>
              <w:spacing w:line="276" w:lineRule="auto"/>
              <w:jc w:val="both"/>
            </w:pPr>
            <w:r>
              <w:t xml:space="preserve">Policies and Bylaws </w:t>
            </w:r>
            <w:r w:rsidR="007F3E0B">
              <w:t xml:space="preserve">that may affect the outcome of the project, </w:t>
            </w:r>
            <w:r>
              <w:t>are available on the Village website and at the Village office</w:t>
            </w:r>
            <w:r w:rsidR="007E7BF5">
              <w:t>, including;</w:t>
            </w:r>
          </w:p>
          <w:p w14:paraId="3BE416A5" w14:textId="127B62BA" w:rsidR="00042026" w:rsidRDefault="00042026" w:rsidP="00042026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Village of Clinton Official Community Plan Bylaw No. 532</w:t>
            </w:r>
          </w:p>
          <w:p w14:paraId="12EF675B" w14:textId="32066F2E" w:rsidR="00042026" w:rsidRDefault="00042026" w:rsidP="00042026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Village of Clinton Zoning Bylaw No. 439 (including any amendments)</w:t>
            </w:r>
          </w:p>
          <w:p w14:paraId="4DF9CD3F" w14:textId="6651732F" w:rsidR="00042026" w:rsidRDefault="00042026" w:rsidP="00585159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Village of Clinton Sign Bylaw No. 477</w:t>
            </w:r>
          </w:p>
          <w:p w14:paraId="6F0A2783" w14:textId="65EB1674" w:rsidR="009011E5" w:rsidRDefault="00042026" w:rsidP="00585159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Village of Clinton Business License Bylaw No. 551</w:t>
            </w:r>
          </w:p>
          <w:p w14:paraId="06C93D0E" w14:textId="77777777" w:rsidR="006B79CF" w:rsidRDefault="006B79CF" w:rsidP="006B79CF">
            <w:pPr>
              <w:pStyle w:val="ListParagraph"/>
              <w:jc w:val="both"/>
            </w:pPr>
          </w:p>
          <w:p w14:paraId="739AAD8B" w14:textId="34166C34" w:rsidR="009011E5" w:rsidRDefault="009011E5" w:rsidP="00585159">
            <w:pPr>
              <w:spacing w:line="276" w:lineRule="auto"/>
              <w:jc w:val="both"/>
            </w:pPr>
            <w:r>
              <w:t xml:space="preserve">Building, Sign and/or other permits may be required based on the extent of the improvements to be completed. These requirements are not waived by approval for </w:t>
            </w:r>
            <w:r w:rsidR="009612E4">
              <w:t xml:space="preserve">the Façade Improvement Program </w:t>
            </w:r>
            <w:r>
              <w:t>and should be applied for prior to</w:t>
            </w:r>
            <w:r w:rsidR="007E7BF5">
              <w:t>,</w:t>
            </w:r>
            <w:r>
              <w:t xml:space="preserve"> or concurrently</w:t>
            </w:r>
            <w:r w:rsidR="007E7BF5">
              <w:t>,</w:t>
            </w:r>
            <w:r>
              <w:t xml:space="preserve"> with </w:t>
            </w:r>
            <w:r w:rsidR="007E7BF5">
              <w:t xml:space="preserve">the </w:t>
            </w:r>
            <w:r>
              <w:t xml:space="preserve">application for this program. </w:t>
            </w:r>
          </w:p>
          <w:p w14:paraId="1000AF80" w14:textId="77777777" w:rsidR="009011E5" w:rsidRDefault="009011E5"/>
        </w:tc>
      </w:tr>
      <w:tr w:rsidR="00042026" w14:paraId="50A76DB1" w14:textId="77777777" w:rsidTr="002416C2">
        <w:trPr>
          <w:trHeight w:val="688"/>
        </w:trPr>
        <w:tc>
          <w:tcPr>
            <w:tcW w:w="9585" w:type="dxa"/>
          </w:tcPr>
          <w:p w14:paraId="584E5889" w14:textId="77777777" w:rsidR="00042026" w:rsidRDefault="00042026" w:rsidP="00585159">
            <w:pPr>
              <w:jc w:val="both"/>
            </w:pPr>
          </w:p>
        </w:tc>
      </w:tr>
    </w:tbl>
    <w:p w14:paraId="79DB66DA" w14:textId="18CA3E34" w:rsidR="00EF27DE" w:rsidRPr="0033379B" w:rsidRDefault="00EF27DE">
      <w:pPr>
        <w:rPr>
          <w:rFonts w:ascii="Calibri" w:eastAsia="Times New Roman" w:hAnsi="Calibri" w:cs="Arial"/>
          <w:b/>
          <w:color w:val="1F497D"/>
          <w:sz w:val="24"/>
          <w:lang w:val="en-CA" w:eastAsia="en-CA"/>
        </w:rPr>
      </w:pPr>
      <w:r w:rsidRPr="0033379B">
        <w:rPr>
          <w:rFonts w:ascii="Calibri" w:eastAsia="Times New Roman" w:hAnsi="Calibri" w:cs="Arial"/>
          <w:b/>
          <w:color w:val="1F497D"/>
          <w:sz w:val="24"/>
          <w:lang w:val="en-CA" w:eastAsia="en-CA"/>
        </w:rPr>
        <w:t>Business Application Process</w:t>
      </w:r>
    </w:p>
    <w:p w14:paraId="361A4F49" w14:textId="209C2514" w:rsidR="00242D27" w:rsidRPr="00E77F1D" w:rsidRDefault="00242D27" w:rsidP="00242D27">
      <w:pPr>
        <w:spacing w:after="0"/>
      </w:pPr>
      <w:r w:rsidRPr="00E77F1D">
        <w:t>Applications are accepted via:</w:t>
      </w:r>
    </w:p>
    <w:p w14:paraId="592101D8" w14:textId="3F9A91D1" w:rsidR="009612E4" w:rsidRPr="00E77F1D" w:rsidRDefault="00242D27" w:rsidP="00242D27">
      <w:pPr>
        <w:spacing w:after="0"/>
      </w:pPr>
      <w:r w:rsidRPr="00E77F1D">
        <w:t xml:space="preserve">Email: </w:t>
      </w:r>
      <w:hyperlink r:id="rId10" w:history="1">
        <w:r w:rsidR="00185CA1" w:rsidRPr="008C2ECF">
          <w:rPr>
            <w:rStyle w:val="Hyperlink"/>
          </w:rPr>
          <w:t>cdc@village.clinton.bc.ca</w:t>
        </w:r>
      </w:hyperlink>
      <w:r w:rsidRPr="00E77F1D">
        <w:t xml:space="preserve"> </w:t>
      </w:r>
    </w:p>
    <w:p w14:paraId="4BD49FC1" w14:textId="77777777" w:rsidR="00A26588" w:rsidRDefault="00A26588" w:rsidP="00242D27">
      <w:pPr>
        <w:spacing w:after="0"/>
      </w:pPr>
    </w:p>
    <w:p w14:paraId="6855CC9C" w14:textId="32163A3D" w:rsidR="00242D27" w:rsidRPr="00E77F1D" w:rsidRDefault="00242D27" w:rsidP="00242D27">
      <w:pPr>
        <w:spacing w:after="0"/>
      </w:pPr>
      <w:r w:rsidRPr="00E77F1D">
        <w:t xml:space="preserve">Mail: </w:t>
      </w:r>
      <w:r w:rsidR="00585159">
        <w:t xml:space="preserve">  </w:t>
      </w:r>
      <w:r w:rsidRPr="00E77F1D">
        <w:t xml:space="preserve">PO Box 309 Clinton, </w:t>
      </w:r>
      <w:r w:rsidR="000F418E" w:rsidRPr="00E77F1D">
        <w:t>BC</w:t>
      </w:r>
      <w:r w:rsidR="000F418E">
        <w:t>,</w:t>
      </w:r>
      <w:r w:rsidR="000F418E" w:rsidRPr="00E77F1D">
        <w:t xml:space="preserve"> V</w:t>
      </w:r>
      <w:r w:rsidRPr="00E77F1D">
        <w:t>0K 1K0</w:t>
      </w:r>
    </w:p>
    <w:p w14:paraId="6DD6B2F7" w14:textId="197EAABF" w:rsidR="00242D27" w:rsidRPr="00E77F1D" w:rsidRDefault="00242D27" w:rsidP="00242D27">
      <w:pPr>
        <w:spacing w:after="0"/>
      </w:pPr>
      <w:r w:rsidRPr="00E77F1D">
        <w:t>In person at the Village office located at 1423 Cariboo Hwy. Clinton, BC</w:t>
      </w:r>
    </w:p>
    <w:p w14:paraId="2B692E7D" w14:textId="77777777" w:rsidR="00242D27" w:rsidRPr="005000B3" w:rsidRDefault="00242D27" w:rsidP="00242D27">
      <w:pPr>
        <w:spacing w:after="0"/>
        <w:rPr>
          <w:i/>
        </w:rPr>
      </w:pPr>
    </w:p>
    <w:p w14:paraId="6250990D" w14:textId="3F4A19BD" w:rsidR="009612E4" w:rsidRDefault="00A26588" w:rsidP="00585159">
      <w:pPr>
        <w:jc w:val="both"/>
      </w:pPr>
      <w:r>
        <w:t>The submission of</w:t>
      </w:r>
      <w:r w:rsidR="009612E4">
        <w:t xml:space="preserve"> an application does not necessarily mean your project</w:t>
      </w:r>
      <w:r>
        <w:t xml:space="preserve"> </w:t>
      </w:r>
      <w:r w:rsidR="00E31705">
        <w:t>proposal,</w:t>
      </w:r>
      <w:r w:rsidR="009612E4">
        <w:t xml:space="preserve"> or a specific grant amount will be approved.</w:t>
      </w:r>
      <w:r>
        <w:t xml:space="preserve"> </w:t>
      </w:r>
      <w:r w:rsidR="009612E4">
        <w:t xml:space="preserve"> All project proposals are subject to a comprehensive review, must meet high quality standards, and must reflect the spirit and intent of the Façade Improvement Program Guidelines</w:t>
      </w:r>
      <w:r>
        <w:t>.</w:t>
      </w:r>
    </w:p>
    <w:p w14:paraId="54FB0DA5" w14:textId="1CBBC3E3" w:rsidR="009612E4" w:rsidRPr="006174F8" w:rsidRDefault="009612E4" w:rsidP="00585159">
      <w:pPr>
        <w:spacing w:after="0"/>
        <w:jc w:val="both"/>
      </w:pPr>
      <w:r w:rsidRPr="006174F8">
        <w:t xml:space="preserve">Generally, the application, approval and reimbursement process </w:t>
      </w:r>
      <w:proofErr w:type="gramStart"/>
      <w:r w:rsidRPr="006174F8">
        <w:t>is</w:t>
      </w:r>
      <w:proofErr w:type="gramEnd"/>
      <w:r w:rsidRPr="006174F8">
        <w:t xml:space="preserve"> as follows: </w:t>
      </w:r>
    </w:p>
    <w:p w14:paraId="51257D25" w14:textId="4C5CCCC7" w:rsidR="009612E4" w:rsidRPr="006174F8" w:rsidRDefault="009612E4" w:rsidP="00585159">
      <w:pPr>
        <w:pStyle w:val="ListParagraph"/>
        <w:numPr>
          <w:ilvl w:val="0"/>
          <w:numId w:val="16"/>
        </w:numPr>
        <w:spacing w:after="0"/>
        <w:jc w:val="both"/>
      </w:pPr>
      <w:r w:rsidRPr="006174F8">
        <w:t xml:space="preserve">Owner/Tenant contacts the Municipality to determine if the building qualifies for the Façade Improvement Program, discuss your project, and obtain the Program Guide and Application. </w:t>
      </w:r>
    </w:p>
    <w:p w14:paraId="549039E7" w14:textId="62531073" w:rsidR="009612E4" w:rsidRPr="006174F8" w:rsidRDefault="009612E4" w:rsidP="00585159">
      <w:pPr>
        <w:pStyle w:val="ListParagraph"/>
        <w:numPr>
          <w:ilvl w:val="0"/>
          <w:numId w:val="16"/>
        </w:numPr>
        <w:spacing w:after="0"/>
        <w:jc w:val="both"/>
      </w:pPr>
      <w:r w:rsidRPr="006174F8">
        <w:t xml:space="preserve">Owner/ Tenant submit a complete application with designs. All required supporting materials and documents (including owner authorization) must be received prior to be </w:t>
      </w:r>
      <w:r w:rsidR="00C86EB9">
        <w:t>deemed</w:t>
      </w:r>
      <w:r w:rsidRPr="006174F8">
        <w:t xml:space="preserve"> complete. </w:t>
      </w:r>
    </w:p>
    <w:p w14:paraId="6E0D7884" w14:textId="0D411BF3" w:rsidR="009612E4" w:rsidRPr="006174F8" w:rsidRDefault="009612E4" w:rsidP="00585159">
      <w:pPr>
        <w:pStyle w:val="ListParagraph"/>
        <w:numPr>
          <w:ilvl w:val="0"/>
          <w:numId w:val="16"/>
        </w:numPr>
        <w:jc w:val="both"/>
      </w:pPr>
      <w:r w:rsidRPr="006174F8">
        <w:t xml:space="preserve">Staff reviews the application and proposed façade improvements to ensure that improvements meet the applicable Design Guidelines and Façade Improvement Guidelines. </w:t>
      </w:r>
    </w:p>
    <w:p w14:paraId="33D4275A" w14:textId="42B34EAA" w:rsidR="009612E4" w:rsidRPr="006174F8" w:rsidRDefault="009612E4" w:rsidP="00373DE9">
      <w:pPr>
        <w:pStyle w:val="ListParagraph"/>
        <w:numPr>
          <w:ilvl w:val="0"/>
          <w:numId w:val="16"/>
        </w:numPr>
        <w:jc w:val="both"/>
      </w:pPr>
      <w:r w:rsidRPr="006174F8">
        <w:t xml:space="preserve">Applications are reviewed and a decision to accept or reject the application is made. </w:t>
      </w:r>
    </w:p>
    <w:p w14:paraId="49134816" w14:textId="4BF286E5" w:rsidR="009612E4" w:rsidRPr="006174F8" w:rsidRDefault="009612E4" w:rsidP="00585159">
      <w:pPr>
        <w:pStyle w:val="ListParagraph"/>
        <w:numPr>
          <w:ilvl w:val="0"/>
          <w:numId w:val="16"/>
        </w:numPr>
        <w:jc w:val="both"/>
      </w:pPr>
      <w:r w:rsidRPr="006174F8">
        <w:t xml:space="preserve">Applicant is advised of the decision by email and mailed letter. </w:t>
      </w:r>
    </w:p>
    <w:p w14:paraId="0073CFA9" w14:textId="420A5ED5" w:rsidR="009612E4" w:rsidRPr="006174F8" w:rsidRDefault="009612E4" w:rsidP="00585159">
      <w:pPr>
        <w:pStyle w:val="ListParagraph"/>
        <w:numPr>
          <w:ilvl w:val="0"/>
          <w:numId w:val="16"/>
        </w:numPr>
        <w:jc w:val="both"/>
      </w:pPr>
      <w:r w:rsidRPr="006174F8">
        <w:t xml:space="preserve">Owner/Tenant acquires any required permits and completes the renovations. </w:t>
      </w:r>
    </w:p>
    <w:p w14:paraId="65D45204" w14:textId="167D97E0" w:rsidR="009612E4" w:rsidRPr="006174F8" w:rsidRDefault="009612E4" w:rsidP="00585159">
      <w:pPr>
        <w:pStyle w:val="ListParagraph"/>
        <w:numPr>
          <w:ilvl w:val="0"/>
          <w:numId w:val="16"/>
        </w:numPr>
        <w:jc w:val="both"/>
      </w:pPr>
      <w:r w:rsidRPr="006174F8">
        <w:t>Owner/Tenant provides verification of expenses (including invoices or other co</w:t>
      </w:r>
      <w:r w:rsidR="00E31705">
        <w:t>nfi</w:t>
      </w:r>
      <w:r w:rsidRPr="006174F8">
        <w:t xml:space="preserve">rmations of payment) and submits their totals on the provided expense tracking sheet. </w:t>
      </w:r>
    </w:p>
    <w:p w14:paraId="511FEE59" w14:textId="090A4006" w:rsidR="009612E4" w:rsidRPr="006174F8" w:rsidRDefault="009612E4" w:rsidP="00585159">
      <w:pPr>
        <w:pStyle w:val="ListParagraph"/>
        <w:numPr>
          <w:ilvl w:val="0"/>
          <w:numId w:val="16"/>
        </w:numPr>
        <w:jc w:val="both"/>
      </w:pPr>
      <w:r w:rsidRPr="006174F8">
        <w:t xml:space="preserve">Owner/Tenant </w:t>
      </w:r>
      <w:r w:rsidR="00B60062">
        <w:t xml:space="preserve">will </w:t>
      </w:r>
      <w:r w:rsidRPr="006174F8">
        <w:t>provide</w:t>
      </w:r>
      <w:r w:rsidR="00B60062">
        <w:t xml:space="preserve"> </w:t>
      </w:r>
      <w:r w:rsidRPr="006174F8">
        <w:t xml:space="preserve">before and after photos, a business testimonial, and any other supporting documentation. </w:t>
      </w:r>
    </w:p>
    <w:p w14:paraId="2DB83512" w14:textId="43C8F719" w:rsidR="009612E4" w:rsidRPr="006174F8" w:rsidRDefault="009612E4" w:rsidP="00585159">
      <w:pPr>
        <w:pStyle w:val="ListParagraph"/>
        <w:numPr>
          <w:ilvl w:val="0"/>
          <w:numId w:val="16"/>
        </w:numPr>
        <w:jc w:val="both"/>
      </w:pPr>
      <w:r w:rsidRPr="006174F8">
        <w:t>Owner/Tenant provides proof that the improvements have passe</w:t>
      </w:r>
      <w:r w:rsidR="00C86EB9">
        <w:t>d</w:t>
      </w:r>
      <w:r w:rsidRPr="006174F8">
        <w:t xml:space="preserve"> final inspection for municipal permits (where required) and meet all building standards and codes (where required). </w:t>
      </w:r>
    </w:p>
    <w:p w14:paraId="2D601E84" w14:textId="02A24EFF" w:rsidR="009612E4" w:rsidRPr="006174F8" w:rsidRDefault="009612E4" w:rsidP="00585159">
      <w:pPr>
        <w:pStyle w:val="ListParagraph"/>
        <w:numPr>
          <w:ilvl w:val="0"/>
          <w:numId w:val="16"/>
        </w:numPr>
        <w:jc w:val="both"/>
      </w:pPr>
      <w:r w:rsidRPr="006174F8">
        <w:t xml:space="preserve">Staff verifies </w:t>
      </w:r>
      <w:r w:rsidR="00B60062">
        <w:t>document completion</w:t>
      </w:r>
      <w:r w:rsidRPr="006174F8">
        <w:t xml:space="preserve"> and approves reimbursement. </w:t>
      </w:r>
    </w:p>
    <w:p w14:paraId="455E55DE" w14:textId="04AFE91E" w:rsidR="009612E4" w:rsidRDefault="009612E4" w:rsidP="00585159">
      <w:pPr>
        <w:pStyle w:val="ListParagraph"/>
        <w:numPr>
          <w:ilvl w:val="0"/>
          <w:numId w:val="16"/>
        </w:numPr>
        <w:jc w:val="both"/>
      </w:pPr>
      <w:r w:rsidRPr="006174F8">
        <w:t xml:space="preserve">Applicant is issued a cheque. </w:t>
      </w:r>
    </w:p>
    <w:p w14:paraId="6E08FCCA" w14:textId="77777777" w:rsidR="00B60062" w:rsidRDefault="009612E4" w:rsidP="00B60062">
      <w:pPr>
        <w:spacing w:after="0"/>
        <w:rPr>
          <w:rFonts w:ascii="Calibri" w:eastAsia="Times New Roman" w:hAnsi="Calibri" w:cs="Arial"/>
          <w:b/>
          <w:color w:val="1F497D"/>
          <w:sz w:val="24"/>
          <w:lang w:val="en-CA" w:eastAsia="en-CA"/>
        </w:rPr>
      </w:pPr>
      <w:r w:rsidRPr="005000B3">
        <w:rPr>
          <w:rFonts w:ascii="Calibri" w:eastAsia="Times New Roman" w:hAnsi="Calibri" w:cs="Arial"/>
          <w:b/>
          <w:color w:val="1F497D"/>
          <w:sz w:val="24"/>
          <w:lang w:val="en-CA" w:eastAsia="en-CA"/>
        </w:rPr>
        <w:t xml:space="preserve">Please note: </w:t>
      </w:r>
    </w:p>
    <w:p w14:paraId="100E59BA" w14:textId="684C0C3B" w:rsidR="002416C2" w:rsidRDefault="009612E4">
      <w:pPr>
        <w:rPr>
          <w:rFonts w:ascii="Calibri" w:eastAsia="Times New Roman" w:hAnsi="Calibri" w:cs="Arial"/>
          <w:b/>
          <w:color w:val="1F497D"/>
          <w:sz w:val="24"/>
          <w:lang w:val="en-CA" w:eastAsia="en-CA"/>
        </w:rPr>
      </w:pPr>
      <w:r>
        <w:t xml:space="preserve">Approved Projects </w:t>
      </w:r>
      <w:r w:rsidR="00875CC2">
        <w:t>must</w:t>
      </w:r>
      <w:r w:rsidR="00373DE9">
        <w:t xml:space="preserve"> be completed </w:t>
      </w:r>
      <w:r w:rsidR="00B60062">
        <w:t>not later than</w:t>
      </w:r>
      <w:r w:rsidR="00373DE9">
        <w:t xml:space="preserve"> November 30</w:t>
      </w:r>
      <w:r w:rsidR="00373DE9" w:rsidRPr="00373DE9">
        <w:rPr>
          <w:vertAlign w:val="superscript"/>
        </w:rPr>
        <w:t>th</w:t>
      </w:r>
      <w:r w:rsidR="00B60062">
        <w:t xml:space="preserve"> each year.</w:t>
      </w:r>
    </w:p>
    <w:p w14:paraId="204F904C" w14:textId="77777777" w:rsidR="00B60062" w:rsidRPr="00B60062" w:rsidRDefault="00B60062">
      <w:pPr>
        <w:rPr>
          <w:rFonts w:ascii="Calibri" w:eastAsia="Times New Roman" w:hAnsi="Calibri" w:cs="Arial"/>
          <w:b/>
          <w:color w:val="1F497D"/>
          <w:sz w:val="24"/>
          <w:lang w:val="en-CA" w:eastAsia="en-CA"/>
        </w:rPr>
      </w:pPr>
    </w:p>
    <w:p w14:paraId="53B77EEB" w14:textId="5A1F6CCC" w:rsidR="00EF27DE" w:rsidRPr="009011E5" w:rsidRDefault="00EF27DE">
      <w:pPr>
        <w:rPr>
          <w:rFonts w:ascii="Calibri" w:eastAsia="Times New Roman" w:hAnsi="Calibri" w:cs="Arial"/>
          <w:b/>
          <w:color w:val="1F497D"/>
          <w:sz w:val="24"/>
          <w:lang w:val="en-CA" w:eastAsia="en-CA"/>
        </w:rPr>
      </w:pPr>
      <w:r w:rsidRPr="009011E5">
        <w:rPr>
          <w:rFonts w:ascii="Calibri" w:eastAsia="Times New Roman" w:hAnsi="Calibri" w:cs="Arial"/>
          <w:b/>
          <w:color w:val="1F497D"/>
          <w:sz w:val="24"/>
          <w:lang w:val="en-CA" w:eastAsia="en-CA"/>
        </w:rPr>
        <w:t>Evaluation / Selection Process</w:t>
      </w:r>
    </w:p>
    <w:tbl>
      <w:tblPr>
        <w:tblStyle w:val="TableGrid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9011E5" w14:paraId="3EBE81E6" w14:textId="77777777" w:rsidTr="002416C2">
        <w:trPr>
          <w:trHeight w:val="2312"/>
        </w:trPr>
        <w:tc>
          <w:tcPr>
            <w:tcW w:w="9495" w:type="dxa"/>
          </w:tcPr>
          <w:p w14:paraId="77AFFDA9" w14:textId="7A4181D2" w:rsidR="0074208D" w:rsidRPr="00242D27" w:rsidRDefault="00B60062" w:rsidP="00242D27">
            <w:pPr>
              <w:spacing w:line="276" w:lineRule="auto"/>
            </w:pPr>
            <w:r>
              <w:t>The</w:t>
            </w:r>
            <w:r w:rsidR="00585159">
              <w:t xml:space="preserve"> project</w:t>
            </w:r>
            <w:r>
              <w:t xml:space="preserve"> will be</w:t>
            </w:r>
            <w:r w:rsidR="00585159">
              <w:t xml:space="preserve"> evaluate</w:t>
            </w:r>
            <w:r>
              <w:t>d</w:t>
            </w:r>
            <w:r w:rsidR="00585159">
              <w:t xml:space="preserve"> </w:t>
            </w:r>
            <w:r>
              <w:t>based on</w:t>
            </w:r>
            <w:r w:rsidR="00585159">
              <w:t xml:space="preserve"> the following criteria: </w:t>
            </w:r>
          </w:p>
          <w:p w14:paraId="35A33E65" w14:textId="3E1E59B0" w:rsidR="0074208D" w:rsidRPr="00242D27" w:rsidRDefault="0074208D" w:rsidP="00242D27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 w:rsidRPr="00242D27">
              <w:t xml:space="preserve">Does the project meet the applicable Design Guidelines? </w:t>
            </w:r>
          </w:p>
          <w:p w14:paraId="529D8839" w14:textId="20215372" w:rsidR="0074208D" w:rsidRDefault="0074208D" w:rsidP="00242D27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 w:rsidRPr="00242D27">
              <w:t xml:space="preserve">Will the project </w:t>
            </w:r>
            <w:r w:rsidR="00B60062">
              <w:t xml:space="preserve">or renovation </w:t>
            </w:r>
            <w:r w:rsidRPr="00242D27">
              <w:t xml:space="preserve">have a noticeable impact on the streetscape? </w:t>
            </w:r>
          </w:p>
          <w:p w14:paraId="398AEE18" w14:textId="77777777" w:rsidR="000204D9" w:rsidRPr="00242D27" w:rsidRDefault="000204D9" w:rsidP="007E362A">
            <w:pPr>
              <w:pStyle w:val="ListParagraph"/>
              <w:spacing w:line="276" w:lineRule="auto"/>
            </w:pPr>
          </w:p>
          <w:p w14:paraId="54398C0C" w14:textId="02D01198" w:rsidR="009011E5" w:rsidRPr="00E77F1D" w:rsidRDefault="009011E5" w:rsidP="00B60062">
            <w:pPr>
              <w:pStyle w:val="ListParagraph"/>
              <w:spacing w:line="276" w:lineRule="auto"/>
            </w:pPr>
          </w:p>
        </w:tc>
      </w:tr>
    </w:tbl>
    <w:p w14:paraId="43DF2376" w14:textId="46CEEF06" w:rsidR="002E4163" w:rsidRDefault="002E4163" w:rsidP="00E77F1D"/>
    <w:sectPr w:rsidR="002E4163" w:rsidSect="003021F5">
      <w:headerReference w:type="default" r:id="rId11"/>
      <w:footerReference w:type="default" r:id="rId12"/>
      <w:pgSz w:w="12240" w:h="15840"/>
      <w:pgMar w:top="1260" w:right="1440" w:bottom="1440" w:left="1440" w:header="720" w:footer="720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11699" w14:textId="77777777" w:rsidR="00A5519A" w:rsidRDefault="00A5519A" w:rsidP="003021F5">
      <w:pPr>
        <w:spacing w:after="0" w:line="240" w:lineRule="auto"/>
      </w:pPr>
      <w:r>
        <w:separator/>
      </w:r>
    </w:p>
  </w:endnote>
  <w:endnote w:type="continuationSeparator" w:id="0">
    <w:p w14:paraId="711F84A9" w14:textId="77777777" w:rsidR="00A5519A" w:rsidRDefault="00A5519A" w:rsidP="003021F5">
      <w:pPr>
        <w:spacing w:after="0" w:line="240" w:lineRule="auto"/>
      </w:pPr>
      <w:r>
        <w:continuationSeparator/>
      </w:r>
    </w:p>
  </w:endnote>
  <w:endnote w:type="continuationNotice" w:id="1">
    <w:p w14:paraId="388C41D0" w14:textId="77777777" w:rsidR="00A5519A" w:rsidRDefault="00A551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0"/>
        <w:szCs w:val="20"/>
      </w:rPr>
      <w:id w:val="69164007"/>
      <w:docPartObj>
        <w:docPartGallery w:val="Page Numbers (Bottom of Page)"/>
        <w:docPartUnique/>
      </w:docPartObj>
    </w:sdtPr>
    <w:sdtEndPr/>
    <w:sdtContent>
      <w:p w14:paraId="460EE33E" w14:textId="7EC536A5" w:rsidR="003021F5" w:rsidRPr="00107A23" w:rsidRDefault="00107A23" w:rsidP="00107A23">
        <w:pPr>
          <w:pStyle w:val="Footer"/>
          <w:rPr>
            <w:i/>
            <w:iCs/>
            <w:sz w:val="20"/>
            <w:szCs w:val="20"/>
          </w:rPr>
        </w:pPr>
        <w:r w:rsidRPr="00107A23">
          <w:rPr>
            <w:i/>
            <w:iCs/>
            <w:sz w:val="20"/>
            <w:szCs w:val="20"/>
          </w:rPr>
          <w:t>Updated December 2022</w:t>
        </w:r>
        <w:r w:rsidR="003021F5" w:rsidRPr="00107A23">
          <w:rPr>
            <w:i/>
            <w:iCs/>
            <w:noProof/>
            <w:sz w:val="20"/>
            <w:szCs w:val="20"/>
            <w:lang w:val="en-CA" w:eastAsia="en-CA"/>
          </w:rPr>
          <mc:AlternateContent>
            <mc:Choice Requires="wpg">
              <w:drawing>
                <wp:inline distT="0" distB="0" distL="0" distR="0" wp14:anchorId="4361EEE8" wp14:editId="1F170B81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2129CE" w14:textId="77777777" w:rsidR="003021F5" w:rsidRDefault="003021F5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BE4419" w:rsidRPr="00BE4419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4361EEE8"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14:paraId="522129CE" w14:textId="77777777" w:rsidR="003021F5" w:rsidRDefault="003021F5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E4419" w:rsidRPr="00BE4419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4430AE05" w14:textId="6708D452" w:rsidR="003021F5" w:rsidRDefault="003021F5">
    <w:pPr>
      <w:pStyle w:val="Footer"/>
      <w:rPr>
        <w:i/>
        <w:iCs/>
        <w:sz w:val="20"/>
        <w:szCs w:val="20"/>
      </w:rPr>
    </w:pPr>
  </w:p>
  <w:p w14:paraId="58C64513" w14:textId="77777777" w:rsidR="00107A23" w:rsidRPr="00107A23" w:rsidRDefault="00107A23">
    <w:pPr>
      <w:pStyle w:val="Foo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7396F" w14:textId="77777777" w:rsidR="00A5519A" w:rsidRDefault="00A5519A" w:rsidP="003021F5">
      <w:pPr>
        <w:spacing w:after="0" w:line="240" w:lineRule="auto"/>
      </w:pPr>
      <w:r>
        <w:separator/>
      </w:r>
    </w:p>
  </w:footnote>
  <w:footnote w:type="continuationSeparator" w:id="0">
    <w:p w14:paraId="58156122" w14:textId="77777777" w:rsidR="00A5519A" w:rsidRDefault="00A5519A" w:rsidP="003021F5">
      <w:pPr>
        <w:spacing w:after="0" w:line="240" w:lineRule="auto"/>
      </w:pPr>
      <w:r>
        <w:continuationSeparator/>
      </w:r>
    </w:p>
  </w:footnote>
  <w:footnote w:type="continuationNotice" w:id="1">
    <w:p w14:paraId="6ED94F35" w14:textId="77777777" w:rsidR="00A5519A" w:rsidRDefault="00A551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8B906" w14:textId="0B948046" w:rsidR="003021F5" w:rsidRPr="00852431" w:rsidRDefault="003021F5">
    <w:pPr>
      <w:pStyle w:val="Header"/>
      <w:rPr>
        <w:color w:val="808080" w:themeColor="background1" w:themeShade="80"/>
      </w:rPr>
    </w:pPr>
    <w:r w:rsidRPr="00852431">
      <w:rPr>
        <w:color w:val="808080" w:themeColor="background1" w:themeShade="80"/>
      </w:rPr>
      <w:t xml:space="preserve">Business Façade Improvement </w:t>
    </w:r>
    <w:r w:rsidR="00E77F1D">
      <w:rPr>
        <w:color w:val="808080" w:themeColor="background1" w:themeShade="80"/>
      </w:rPr>
      <w:t>P</w:t>
    </w:r>
    <w:r w:rsidR="00A26588">
      <w:rPr>
        <w:color w:val="808080" w:themeColor="background1" w:themeShade="80"/>
      </w:rPr>
      <w:t>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795C"/>
    <w:multiLevelType w:val="hybridMultilevel"/>
    <w:tmpl w:val="AB1CC818"/>
    <w:lvl w:ilvl="0" w:tplc="7D28E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764A"/>
    <w:multiLevelType w:val="hybridMultilevel"/>
    <w:tmpl w:val="75907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A5981"/>
    <w:multiLevelType w:val="hybridMultilevel"/>
    <w:tmpl w:val="0A0E2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31A2A"/>
    <w:multiLevelType w:val="hybridMultilevel"/>
    <w:tmpl w:val="E8B2B2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6485C"/>
    <w:multiLevelType w:val="hybridMultilevel"/>
    <w:tmpl w:val="90E07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24BB3"/>
    <w:multiLevelType w:val="hybridMultilevel"/>
    <w:tmpl w:val="5C7A1C14"/>
    <w:lvl w:ilvl="0" w:tplc="A000C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616A1"/>
    <w:multiLevelType w:val="hybridMultilevel"/>
    <w:tmpl w:val="BCBAB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E1137"/>
    <w:multiLevelType w:val="hybridMultilevel"/>
    <w:tmpl w:val="60784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76BA3"/>
    <w:multiLevelType w:val="hybridMultilevel"/>
    <w:tmpl w:val="7DD60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94085"/>
    <w:multiLevelType w:val="hybridMultilevel"/>
    <w:tmpl w:val="FEBE6C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A3B7F"/>
    <w:multiLevelType w:val="hybridMultilevel"/>
    <w:tmpl w:val="64C686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C6C36"/>
    <w:multiLevelType w:val="hybridMultilevel"/>
    <w:tmpl w:val="0AB8A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774E7"/>
    <w:multiLevelType w:val="hybridMultilevel"/>
    <w:tmpl w:val="090EBE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40D2F"/>
    <w:multiLevelType w:val="hybridMultilevel"/>
    <w:tmpl w:val="DF205D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304DF"/>
    <w:multiLevelType w:val="hybridMultilevel"/>
    <w:tmpl w:val="64405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753B6"/>
    <w:multiLevelType w:val="hybridMultilevel"/>
    <w:tmpl w:val="6F326214"/>
    <w:lvl w:ilvl="0" w:tplc="B8D0A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9"/>
  </w:num>
  <w:num w:numId="12">
    <w:abstractNumId w:val="1"/>
  </w:num>
  <w:num w:numId="13">
    <w:abstractNumId w:val="14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DE"/>
    <w:rsid w:val="000202C0"/>
    <w:rsid w:val="000204D9"/>
    <w:rsid w:val="000228D8"/>
    <w:rsid w:val="00024136"/>
    <w:rsid w:val="00042026"/>
    <w:rsid w:val="000649CF"/>
    <w:rsid w:val="00073324"/>
    <w:rsid w:val="000A5FDD"/>
    <w:rsid w:val="000D7E32"/>
    <w:rsid w:val="000E2E38"/>
    <w:rsid w:val="000F418E"/>
    <w:rsid w:val="000F690D"/>
    <w:rsid w:val="001021FF"/>
    <w:rsid w:val="00105D0C"/>
    <w:rsid w:val="00107A23"/>
    <w:rsid w:val="001142E2"/>
    <w:rsid w:val="00174AD6"/>
    <w:rsid w:val="00185CA1"/>
    <w:rsid w:val="001A380A"/>
    <w:rsid w:val="002416C2"/>
    <w:rsid w:val="00242D27"/>
    <w:rsid w:val="00256AD7"/>
    <w:rsid w:val="002609ED"/>
    <w:rsid w:val="002962E6"/>
    <w:rsid w:val="002B520B"/>
    <w:rsid w:val="002E06EA"/>
    <w:rsid w:val="002E4163"/>
    <w:rsid w:val="003021F5"/>
    <w:rsid w:val="003266F0"/>
    <w:rsid w:val="0033379B"/>
    <w:rsid w:val="00373DE9"/>
    <w:rsid w:val="00375BC1"/>
    <w:rsid w:val="003D3E82"/>
    <w:rsid w:val="003E0CFA"/>
    <w:rsid w:val="003F092F"/>
    <w:rsid w:val="00401D69"/>
    <w:rsid w:val="00452134"/>
    <w:rsid w:val="00467C42"/>
    <w:rsid w:val="004A64F4"/>
    <w:rsid w:val="004C28C4"/>
    <w:rsid w:val="004C712E"/>
    <w:rsid w:val="004F151D"/>
    <w:rsid w:val="004F667D"/>
    <w:rsid w:val="005000B3"/>
    <w:rsid w:val="00522578"/>
    <w:rsid w:val="0053080D"/>
    <w:rsid w:val="00571575"/>
    <w:rsid w:val="00585159"/>
    <w:rsid w:val="006174F8"/>
    <w:rsid w:val="00621463"/>
    <w:rsid w:val="006222E0"/>
    <w:rsid w:val="00647005"/>
    <w:rsid w:val="00660E31"/>
    <w:rsid w:val="00695E9E"/>
    <w:rsid w:val="006B79CF"/>
    <w:rsid w:val="0071598A"/>
    <w:rsid w:val="0074208D"/>
    <w:rsid w:val="00750672"/>
    <w:rsid w:val="007A57BD"/>
    <w:rsid w:val="007B0816"/>
    <w:rsid w:val="007E362A"/>
    <w:rsid w:val="007E7BF5"/>
    <w:rsid w:val="007F3E0B"/>
    <w:rsid w:val="00852431"/>
    <w:rsid w:val="00875CC2"/>
    <w:rsid w:val="008B3B39"/>
    <w:rsid w:val="009011E5"/>
    <w:rsid w:val="00913349"/>
    <w:rsid w:val="00922FFF"/>
    <w:rsid w:val="009431C4"/>
    <w:rsid w:val="009612E4"/>
    <w:rsid w:val="009823B3"/>
    <w:rsid w:val="009A2F3F"/>
    <w:rsid w:val="009A6C47"/>
    <w:rsid w:val="009A7EF0"/>
    <w:rsid w:val="009C67A2"/>
    <w:rsid w:val="009D69A3"/>
    <w:rsid w:val="009E789F"/>
    <w:rsid w:val="00A201B2"/>
    <w:rsid w:val="00A26588"/>
    <w:rsid w:val="00A5519A"/>
    <w:rsid w:val="00A57681"/>
    <w:rsid w:val="00A57993"/>
    <w:rsid w:val="00AD4C26"/>
    <w:rsid w:val="00B51229"/>
    <w:rsid w:val="00B60062"/>
    <w:rsid w:val="00B91886"/>
    <w:rsid w:val="00BE4419"/>
    <w:rsid w:val="00BE5DA2"/>
    <w:rsid w:val="00C15A66"/>
    <w:rsid w:val="00C66BF6"/>
    <w:rsid w:val="00C849F5"/>
    <w:rsid w:val="00C86EB9"/>
    <w:rsid w:val="00CA2D26"/>
    <w:rsid w:val="00CF67DC"/>
    <w:rsid w:val="00D348A1"/>
    <w:rsid w:val="00D53E85"/>
    <w:rsid w:val="00D848D5"/>
    <w:rsid w:val="00D9014E"/>
    <w:rsid w:val="00DE7E3B"/>
    <w:rsid w:val="00E06D68"/>
    <w:rsid w:val="00E31705"/>
    <w:rsid w:val="00E61422"/>
    <w:rsid w:val="00E6525C"/>
    <w:rsid w:val="00E67239"/>
    <w:rsid w:val="00E71FF7"/>
    <w:rsid w:val="00E74302"/>
    <w:rsid w:val="00E77F1D"/>
    <w:rsid w:val="00EA4678"/>
    <w:rsid w:val="00ED3145"/>
    <w:rsid w:val="00EE33B0"/>
    <w:rsid w:val="00EF27DE"/>
    <w:rsid w:val="00F15C00"/>
    <w:rsid w:val="00F37015"/>
    <w:rsid w:val="00F37263"/>
    <w:rsid w:val="00F42845"/>
    <w:rsid w:val="00F6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A24B77"/>
  <w15:docId w15:val="{F0B8CEA1-F15D-4D7F-85C6-E38DCCFE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7DE"/>
    <w:pPr>
      <w:ind w:left="720"/>
      <w:contextualSpacing/>
    </w:pPr>
  </w:style>
  <w:style w:type="table" w:styleId="TableGrid">
    <w:name w:val="Table Grid"/>
    <w:basedOn w:val="TableNormal"/>
    <w:uiPriority w:val="59"/>
    <w:rsid w:val="003D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1F5"/>
  </w:style>
  <w:style w:type="paragraph" w:styleId="Footer">
    <w:name w:val="footer"/>
    <w:basedOn w:val="Normal"/>
    <w:link w:val="FooterChar"/>
    <w:uiPriority w:val="99"/>
    <w:unhideWhenUsed/>
    <w:rsid w:val="00302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F5"/>
  </w:style>
  <w:style w:type="paragraph" w:styleId="NoSpacing">
    <w:name w:val="No Spacing"/>
    <w:link w:val="NoSpacingChar"/>
    <w:uiPriority w:val="1"/>
    <w:qFormat/>
    <w:rsid w:val="003021F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021F5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2D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D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8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dc@village.clinton.bc.c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Insert a Community Photo or Logo Here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50ACB3-56D1-4CDE-AEE7-2EDA957D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Fabris</dc:creator>
  <cp:lastModifiedBy>Village Of Clinton CDC</cp:lastModifiedBy>
  <cp:revision>2</cp:revision>
  <cp:lastPrinted>2022-12-16T18:33:00Z</cp:lastPrinted>
  <dcterms:created xsi:type="dcterms:W3CDTF">2022-12-20T16:39:00Z</dcterms:created>
  <dcterms:modified xsi:type="dcterms:W3CDTF">2022-12-20T16:39:00Z</dcterms:modified>
</cp:coreProperties>
</file>